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3E3" w:rsidRPr="00555A09" w:rsidRDefault="00A543E3" w:rsidP="004E44DE">
      <w:pPr>
        <w:pStyle w:val="1"/>
        <w:spacing w:before="0" w:after="0" w:line="300" w:lineRule="auto"/>
        <w:jc w:val="center"/>
        <w:rPr>
          <w:sz w:val="30"/>
          <w:szCs w:val="30"/>
        </w:rPr>
      </w:pPr>
      <w:bookmarkStart w:id="0" w:name="_Toc252287404"/>
      <w:r w:rsidRPr="00555A09">
        <w:rPr>
          <w:rFonts w:hint="eastAsia"/>
          <w:sz w:val="30"/>
          <w:szCs w:val="30"/>
        </w:rPr>
        <w:t>第</w:t>
      </w:r>
      <w:r>
        <w:rPr>
          <w:rFonts w:hint="eastAsia"/>
          <w:sz w:val="30"/>
          <w:szCs w:val="30"/>
        </w:rPr>
        <w:t>八</w:t>
      </w:r>
      <w:r w:rsidRPr="00555A09">
        <w:rPr>
          <w:rFonts w:hint="eastAsia"/>
          <w:sz w:val="30"/>
          <w:szCs w:val="30"/>
        </w:rPr>
        <w:t>章</w:t>
      </w:r>
      <w:bookmarkEnd w:id="0"/>
      <w:r w:rsidR="007A2A51">
        <w:rPr>
          <w:rFonts w:hint="eastAsia"/>
          <w:sz w:val="30"/>
          <w:szCs w:val="30"/>
        </w:rPr>
        <w:t xml:space="preserve"> </w:t>
      </w:r>
      <w:r w:rsidR="007A2A51">
        <w:rPr>
          <w:sz w:val="30"/>
          <w:szCs w:val="30"/>
        </w:rPr>
        <w:t xml:space="preserve"> </w:t>
      </w:r>
      <w:r w:rsidR="007A2A51" w:rsidRPr="007A2A51">
        <w:rPr>
          <w:rFonts w:hint="eastAsia"/>
          <w:sz w:val="30"/>
          <w:szCs w:val="30"/>
        </w:rPr>
        <w:t>企业营运能力分析</w:t>
      </w:r>
    </w:p>
    <w:p w:rsidR="00A543E3" w:rsidRPr="00BC0D8B" w:rsidRDefault="00A543E3" w:rsidP="004E44DE">
      <w:pPr>
        <w:pStyle w:val="2"/>
        <w:spacing w:before="0" w:after="0" w:line="300" w:lineRule="auto"/>
        <w:rPr>
          <w:rFonts w:ascii="宋体" w:eastAsia="宋体" w:hAnsi="宋体"/>
          <w:sz w:val="21"/>
          <w:szCs w:val="21"/>
        </w:rPr>
      </w:pPr>
      <w:r w:rsidRPr="00BC0D8B">
        <w:rPr>
          <w:rFonts w:ascii="宋体" w:eastAsia="宋体" w:hAnsi="宋体" w:hint="eastAsia"/>
          <w:sz w:val="21"/>
          <w:szCs w:val="21"/>
        </w:rPr>
        <w:t>课后习题答案</w:t>
      </w:r>
    </w:p>
    <w:p w:rsidR="00A543E3" w:rsidRPr="001F44E8" w:rsidRDefault="00A543E3" w:rsidP="004E44DE">
      <w:pPr>
        <w:pStyle w:val="3"/>
        <w:spacing w:before="0" w:after="0" w:line="300" w:lineRule="auto"/>
        <w:ind w:firstLineChars="200" w:firstLine="422"/>
        <w:rPr>
          <w:rFonts w:ascii="宋体" w:hAnsi="宋体"/>
          <w:sz w:val="21"/>
          <w:szCs w:val="21"/>
        </w:rPr>
      </w:pPr>
      <w:r w:rsidRPr="001F44E8">
        <w:rPr>
          <w:rFonts w:ascii="宋体" w:hAnsi="宋体" w:hint="eastAsia"/>
          <w:sz w:val="21"/>
          <w:szCs w:val="21"/>
        </w:rPr>
        <w:t>1．</w:t>
      </w:r>
      <w:r w:rsidRPr="00A543E3">
        <w:rPr>
          <w:rFonts w:asciiTheme="minorEastAsia" w:hAnsiTheme="minorEastAsia" w:hint="eastAsia"/>
          <w:kern w:val="0"/>
          <w:sz w:val="21"/>
          <w:szCs w:val="21"/>
        </w:rPr>
        <w:t>简述对企业营运能力分析的意义。</w:t>
      </w:r>
    </w:p>
    <w:p w:rsidR="00A543E3" w:rsidRDefault="00A543E3" w:rsidP="004E44DE">
      <w:pPr>
        <w:spacing w:line="300" w:lineRule="auto"/>
        <w:ind w:firstLineChars="200" w:firstLine="420"/>
      </w:pPr>
      <w:r>
        <w:rPr>
          <w:rFonts w:hint="eastAsia"/>
        </w:rPr>
        <w:t>（</w:t>
      </w:r>
      <w:r>
        <w:rPr>
          <w:rFonts w:hint="eastAsia"/>
        </w:rPr>
        <w:t>1</w:t>
      </w:r>
      <w:r>
        <w:rPr>
          <w:rFonts w:hint="eastAsia"/>
        </w:rPr>
        <w:t>）对企业经营管理者来说，有助于改善经营管理</w:t>
      </w:r>
      <w:r>
        <w:t>。</w:t>
      </w:r>
      <w:r>
        <w:rPr>
          <w:rFonts w:hint="eastAsia"/>
        </w:rPr>
        <w:t>通过企业资产营运能力的分析，能够帮助管理者了解企业的财务状况，作出正确的财务决策和预算。同时，了解资产营运能力有助于了解企业的资产需求情况，帮助管理者合理配置资源。</w:t>
      </w:r>
    </w:p>
    <w:p w:rsidR="00A543E3" w:rsidRDefault="00A543E3" w:rsidP="004E44DE">
      <w:pPr>
        <w:spacing w:line="300" w:lineRule="auto"/>
        <w:ind w:firstLineChars="200" w:firstLine="420"/>
      </w:pPr>
      <w:r>
        <w:rPr>
          <w:rFonts w:hint="eastAsia"/>
        </w:rPr>
        <w:t>（</w:t>
      </w:r>
      <w:r>
        <w:rPr>
          <w:rFonts w:hint="eastAsia"/>
        </w:rPr>
        <w:t>2</w:t>
      </w:r>
      <w:r>
        <w:rPr>
          <w:rFonts w:hint="eastAsia"/>
        </w:rPr>
        <w:t>）对投资者来说，有助于</w:t>
      </w:r>
      <w:r>
        <w:t>进行投资决策。</w:t>
      </w:r>
      <w:r>
        <w:rPr>
          <w:rFonts w:hint="eastAsia"/>
        </w:rPr>
        <w:t>通过企业资产运营能力的分析，能够帮助投资者判断资产的安全性，从而作出正确的投资决策。</w:t>
      </w:r>
    </w:p>
    <w:p w:rsidR="00A543E3" w:rsidRDefault="00A543E3" w:rsidP="004E44DE">
      <w:pPr>
        <w:spacing w:line="300" w:lineRule="auto"/>
        <w:ind w:firstLineChars="200" w:firstLine="420"/>
      </w:pPr>
      <w:r>
        <w:rPr>
          <w:rFonts w:hint="eastAsia"/>
        </w:rPr>
        <w:t>（</w:t>
      </w:r>
      <w:r>
        <w:rPr>
          <w:rFonts w:hint="eastAsia"/>
        </w:rPr>
        <w:t>3</w:t>
      </w:r>
      <w:r>
        <w:rPr>
          <w:rFonts w:hint="eastAsia"/>
        </w:rPr>
        <w:t>）对债权人来说，有助于</w:t>
      </w:r>
      <w:r>
        <w:t>进行信贷决策。</w:t>
      </w:r>
      <w:r>
        <w:rPr>
          <w:rFonts w:hint="eastAsia"/>
        </w:rPr>
        <w:t>通过企业资产运营能力的分析，可以对企业偿还能力有更直接的认识，帮助债权人判断其债券的保障程度，并作出恰当的信贷决策。</w:t>
      </w:r>
    </w:p>
    <w:p w:rsidR="00A543E3" w:rsidRDefault="00A543E3" w:rsidP="004E44DE">
      <w:pPr>
        <w:spacing w:line="300" w:lineRule="auto"/>
        <w:ind w:firstLineChars="200" w:firstLine="420"/>
      </w:pPr>
      <w:r>
        <w:rPr>
          <w:rFonts w:hint="eastAsia"/>
        </w:rPr>
        <w:t>（</w:t>
      </w:r>
      <w:r>
        <w:rPr>
          <w:rFonts w:hint="eastAsia"/>
        </w:rPr>
        <w:t>4</w:t>
      </w:r>
      <w:r>
        <w:rPr>
          <w:rFonts w:hint="eastAsia"/>
        </w:rPr>
        <w:t>）对政府及相关部门来说，有助于进行</w:t>
      </w:r>
      <w:r>
        <w:t>管理和控制。</w:t>
      </w:r>
      <w:r>
        <w:rPr>
          <w:rFonts w:hint="eastAsia"/>
        </w:rPr>
        <w:t>了解企业资产营运能力，利用判断各企业的运营及财务状况是否良好，帮助政府及相关部门判断宏观经济形势，有助于政府及有关部门进行宏观决策。</w:t>
      </w:r>
    </w:p>
    <w:p w:rsidR="00A543E3" w:rsidRPr="0008675D" w:rsidRDefault="00A543E3" w:rsidP="004E44DE">
      <w:pPr>
        <w:pStyle w:val="aa"/>
        <w:spacing w:line="300" w:lineRule="auto"/>
        <w:ind w:left="1142"/>
      </w:pPr>
    </w:p>
    <w:p w:rsidR="00A543E3" w:rsidRPr="00A543E3" w:rsidRDefault="00A543E3" w:rsidP="004E44DE">
      <w:pPr>
        <w:spacing w:line="300" w:lineRule="auto"/>
        <w:ind w:firstLineChars="200" w:firstLine="420"/>
        <w:rPr>
          <w:rFonts w:ascii="宋体" w:hAnsi="宋体"/>
        </w:rPr>
      </w:pPr>
    </w:p>
    <w:p w:rsidR="00A543E3" w:rsidRPr="00A543E3" w:rsidRDefault="00A543E3" w:rsidP="004E44DE">
      <w:pPr>
        <w:pStyle w:val="3"/>
        <w:spacing w:before="0" w:after="0" w:line="300" w:lineRule="auto"/>
        <w:ind w:firstLineChars="200" w:firstLine="422"/>
        <w:rPr>
          <w:sz w:val="21"/>
          <w:szCs w:val="21"/>
        </w:rPr>
      </w:pPr>
      <w:r w:rsidRPr="001F44E8">
        <w:rPr>
          <w:rFonts w:ascii="宋体" w:hAnsi="宋体" w:hint="eastAsia"/>
          <w:sz w:val="21"/>
          <w:szCs w:val="21"/>
        </w:rPr>
        <w:t>2．</w:t>
      </w:r>
      <w:r w:rsidRPr="00A543E3">
        <w:rPr>
          <w:rFonts w:asciiTheme="minorEastAsia" w:hAnsiTheme="minorEastAsia" w:hint="eastAsia"/>
          <w:kern w:val="0"/>
          <w:sz w:val="21"/>
          <w:szCs w:val="21"/>
        </w:rPr>
        <w:t>简述流动资产营运能力分析的指标</w:t>
      </w:r>
      <w:r w:rsidR="00D55BE7">
        <w:rPr>
          <w:rFonts w:asciiTheme="minorEastAsia" w:hAnsiTheme="minorEastAsia" w:hint="eastAsia"/>
          <w:kern w:val="0"/>
          <w:sz w:val="21"/>
          <w:szCs w:val="21"/>
        </w:rPr>
        <w:t>及其运用。</w:t>
      </w:r>
    </w:p>
    <w:p w:rsidR="00A543E3" w:rsidRPr="00414713" w:rsidRDefault="004E3A0D" w:rsidP="004E44DE">
      <w:pPr>
        <w:snapToGrid w:val="0"/>
        <w:spacing w:line="300" w:lineRule="auto"/>
        <w:ind w:firstLineChars="200" w:firstLine="420"/>
        <w:rPr>
          <w:rFonts w:ascii="宋体" w:hAnsi="宋体"/>
          <w:szCs w:val="21"/>
        </w:rPr>
      </w:pPr>
      <w:r>
        <w:rPr>
          <w:rFonts w:hint="eastAsia"/>
        </w:rPr>
        <w:t>1</w:t>
      </w:r>
      <w:r w:rsidR="00D55BE7">
        <w:rPr>
          <w:rFonts w:hint="eastAsia"/>
        </w:rPr>
        <w:t>）</w:t>
      </w:r>
      <w:r w:rsidR="00A543E3" w:rsidRPr="00414713">
        <w:rPr>
          <w:rFonts w:ascii="宋体" w:hAnsi="宋体" w:hint="eastAsia"/>
          <w:szCs w:val="21"/>
        </w:rPr>
        <w:t>应收账款周转率</w:t>
      </w:r>
      <w:r w:rsidR="00A543E3">
        <w:rPr>
          <w:rFonts w:ascii="宋体" w:hAnsi="宋体" w:hint="eastAsia"/>
          <w:szCs w:val="21"/>
        </w:rPr>
        <w:t>和</w:t>
      </w:r>
      <w:r w:rsidR="00A543E3" w:rsidRPr="00414713">
        <w:rPr>
          <w:rFonts w:ascii="宋体" w:hAnsi="宋体" w:hint="eastAsia"/>
          <w:szCs w:val="21"/>
        </w:rPr>
        <w:t>应收账款周转天数</w:t>
      </w:r>
    </w:p>
    <w:p w:rsidR="00A543E3" w:rsidRPr="00414713" w:rsidRDefault="00A543E3" w:rsidP="004E44DE">
      <w:pPr>
        <w:snapToGrid w:val="0"/>
        <w:spacing w:line="300" w:lineRule="auto"/>
        <w:ind w:firstLineChars="200" w:firstLine="420"/>
        <w:rPr>
          <w:rFonts w:ascii="宋体" w:hAnsi="宋体"/>
          <w:szCs w:val="21"/>
        </w:rPr>
      </w:pPr>
      <w:r w:rsidRPr="00414713">
        <w:rPr>
          <w:rFonts w:ascii="宋体" w:hAnsi="宋体" w:hint="eastAsia"/>
          <w:szCs w:val="21"/>
        </w:rPr>
        <w:t>应收账款周转率是</w:t>
      </w:r>
      <w:r>
        <w:rPr>
          <w:rFonts w:ascii="宋体" w:hAnsi="宋体" w:hint="eastAsia"/>
          <w:szCs w:val="21"/>
        </w:rPr>
        <w:t>企业</w:t>
      </w:r>
      <w:r>
        <w:rPr>
          <w:rFonts w:ascii="宋体" w:hAnsi="宋体"/>
          <w:szCs w:val="21"/>
        </w:rPr>
        <w:t>一定时期内赊销</w:t>
      </w:r>
      <w:r w:rsidRPr="00414713">
        <w:rPr>
          <w:rFonts w:ascii="宋体" w:hAnsi="宋体" w:hint="eastAsia"/>
          <w:szCs w:val="21"/>
        </w:rPr>
        <w:t>销售收入</w:t>
      </w:r>
      <w:r>
        <w:rPr>
          <w:rFonts w:ascii="宋体" w:hAnsi="宋体" w:hint="eastAsia"/>
          <w:szCs w:val="21"/>
        </w:rPr>
        <w:t>净额</w:t>
      </w:r>
      <w:r w:rsidRPr="00414713">
        <w:rPr>
          <w:rFonts w:ascii="宋体" w:hAnsi="宋体" w:hint="eastAsia"/>
          <w:szCs w:val="21"/>
        </w:rPr>
        <w:t>与应收账款</w:t>
      </w:r>
      <w:r>
        <w:rPr>
          <w:rFonts w:ascii="宋体" w:hAnsi="宋体" w:hint="eastAsia"/>
          <w:szCs w:val="21"/>
        </w:rPr>
        <w:t>平均余额</w:t>
      </w:r>
      <w:r w:rsidRPr="00414713">
        <w:rPr>
          <w:rFonts w:ascii="宋体" w:hAnsi="宋体" w:hint="eastAsia"/>
          <w:szCs w:val="21"/>
        </w:rPr>
        <w:t>的比率。其计算公式如下：</w:t>
      </w:r>
    </w:p>
    <w:p w:rsidR="00A543E3" w:rsidRDefault="00A543E3" w:rsidP="004E44DE">
      <w:pPr>
        <w:snapToGrid w:val="0"/>
        <w:spacing w:line="300" w:lineRule="auto"/>
        <w:jc w:val="center"/>
        <w:rPr>
          <w:rFonts w:ascii="宋体" w:hAnsi="宋体"/>
          <w:szCs w:val="21"/>
        </w:rPr>
      </w:pPr>
      <m:oMathPara>
        <m:oMath>
          <m:r>
            <m:rPr>
              <m:sty m:val="p"/>
            </m:rPr>
            <w:rPr>
              <w:rFonts w:ascii="Cambria Math" w:hAnsi="Cambria Math" w:hint="eastAsia"/>
              <w:szCs w:val="21"/>
            </w:rPr>
            <m:t>应收账款周转率</m:t>
          </m:r>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hint="eastAsia"/>
                  <w:szCs w:val="21"/>
                </w:rPr>
                <m:t>赊销</m:t>
              </m:r>
              <m:r>
                <m:rPr>
                  <m:sty m:val="p"/>
                </m:rPr>
                <w:rPr>
                  <w:rFonts w:ascii="Cambria Math" w:hAnsi="Cambria Math"/>
                  <w:szCs w:val="21"/>
                </w:rPr>
                <m:t>收入净额</m:t>
              </m:r>
            </m:num>
            <m:den>
              <m:r>
                <m:rPr>
                  <m:sty m:val="p"/>
                </m:rPr>
                <w:rPr>
                  <w:rFonts w:ascii="Cambria Math" w:hAnsi="Cambria Math" w:hint="eastAsia"/>
                  <w:szCs w:val="21"/>
                </w:rPr>
                <m:t>应收账款</m:t>
              </m:r>
              <m:r>
                <m:rPr>
                  <m:sty m:val="p"/>
                </m:rPr>
                <w:rPr>
                  <w:rFonts w:ascii="Cambria Math" w:hAnsi="Cambria Math"/>
                  <w:szCs w:val="21"/>
                </w:rPr>
                <m:t>平均余额</m:t>
              </m:r>
            </m:den>
          </m:f>
        </m:oMath>
      </m:oMathPara>
    </w:p>
    <w:p w:rsidR="00A543E3" w:rsidRPr="00414713" w:rsidRDefault="00A543E3" w:rsidP="004E44DE">
      <w:pPr>
        <w:snapToGrid w:val="0"/>
        <w:spacing w:line="300" w:lineRule="auto"/>
        <w:ind w:firstLineChars="200" w:firstLine="420"/>
        <w:rPr>
          <w:rFonts w:ascii="宋体" w:hAnsi="宋体"/>
          <w:szCs w:val="21"/>
        </w:rPr>
      </w:pPr>
      <w:r w:rsidRPr="00414713">
        <w:rPr>
          <w:rFonts w:ascii="宋体" w:hAnsi="宋体" w:hint="eastAsia"/>
          <w:szCs w:val="21"/>
        </w:rPr>
        <w:t>应收账款周转天数也称为应收账款收现期。其计算公式如下：</w:t>
      </w:r>
    </w:p>
    <w:p w:rsidR="00A543E3" w:rsidRDefault="00A543E3" w:rsidP="004E44DE">
      <w:pPr>
        <w:snapToGrid w:val="0"/>
        <w:spacing w:line="300" w:lineRule="auto"/>
        <w:ind w:firstLineChars="200" w:firstLine="420"/>
        <w:rPr>
          <w:rFonts w:ascii="宋体" w:hAnsi="宋体"/>
          <w:szCs w:val="21"/>
        </w:rPr>
      </w:pPr>
      <m:oMathPara>
        <m:oMath>
          <m:r>
            <m:rPr>
              <m:sty m:val="p"/>
            </m:rPr>
            <w:rPr>
              <w:rFonts w:ascii="Cambria Math" w:hAnsi="Cambria Math"/>
              <w:szCs w:val="21"/>
            </w:rPr>
            <m:t>应收账款周转天数</m:t>
          </m:r>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365</m:t>
              </m:r>
            </m:num>
            <m:den>
              <m:r>
                <m:rPr>
                  <m:sty m:val="p"/>
                </m:rPr>
                <w:rPr>
                  <w:rFonts w:ascii="Cambria Math" w:hAnsi="Cambria Math"/>
                  <w:szCs w:val="21"/>
                </w:rPr>
                <m:t>应收账款周转率</m:t>
              </m:r>
            </m:den>
          </m:f>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365×</m:t>
              </m:r>
              <m:r>
                <m:rPr>
                  <m:sty m:val="p"/>
                </m:rPr>
                <w:rPr>
                  <w:rFonts w:ascii="Cambria Math" w:hAnsi="Cambria Math"/>
                  <w:szCs w:val="21"/>
                </w:rPr>
                <m:t>应收账款</m:t>
              </m:r>
              <m:r>
                <m:rPr>
                  <m:sty m:val="p"/>
                </m:rPr>
                <w:rPr>
                  <w:rFonts w:ascii="Cambria Math" w:hAnsi="Cambria Math" w:hint="eastAsia"/>
                  <w:szCs w:val="21"/>
                </w:rPr>
                <m:t>平均余额</m:t>
              </m:r>
            </m:num>
            <m:den>
              <m:r>
                <m:rPr>
                  <m:sty m:val="p"/>
                </m:rPr>
                <w:rPr>
                  <w:rFonts w:ascii="Cambria Math" w:hAnsi="Cambria Math" w:hint="eastAsia"/>
                  <w:szCs w:val="21"/>
                </w:rPr>
                <m:t>赊销</m:t>
              </m:r>
              <m:r>
                <m:rPr>
                  <m:sty m:val="p"/>
                </m:rPr>
                <w:rPr>
                  <w:rFonts w:ascii="Cambria Math" w:hAnsi="Cambria Math"/>
                  <w:szCs w:val="21"/>
                </w:rPr>
                <m:t>销售收入</m:t>
              </m:r>
              <m:r>
                <m:rPr>
                  <m:sty m:val="p"/>
                </m:rPr>
                <w:rPr>
                  <w:rFonts w:ascii="Cambria Math" w:hAnsi="Cambria Math" w:hint="eastAsia"/>
                  <w:szCs w:val="21"/>
                </w:rPr>
                <m:t>净额</m:t>
              </m:r>
            </m:den>
          </m:f>
        </m:oMath>
      </m:oMathPara>
    </w:p>
    <w:p w:rsidR="00A543E3" w:rsidRPr="00414713" w:rsidRDefault="00A543E3" w:rsidP="004E44DE">
      <w:pPr>
        <w:snapToGrid w:val="0"/>
        <w:spacing w:line="300" w:lineRule="auto"/>
        <w:ind w:firstLineChars="200" w:firstLine="420"/>
        <w:rPr>
          <w:rFonts w:ascii="宋体" w:hAnsi="宋体"/>
          <w:szCs w:val="21"/>
        </w:rPr>
      </w:pPr>
      <w:r w:rsidRPr="00414713">
        <w:rPr>
          <w:rFonts w:ascii="宋体" w:hAnsi="宋体" w:hint="eastAsia"/>
          <w:szCs w:val="21"/>
        </w:rPr>
        <w:t>在计算和使用应收账款周转率时应注意的问题</w:t>
      </w:r>
      <w:r>
        <w:rPr>
          <w:rFonts w:ascii="宋体" w:hAnsi="宋体" w:hint="eastAsia"/>
          <w:szCs w:val="21"/>
        </w:rPr>
        <w:t>：</w:t>
      </w:r>
    </w:p>
    <w:p w:rsidR="00A543E3" w:rsidRPr="00414713" w:rsidRDefault="00A543E3" w:rsidP="004E44DE">
      <w:pPr>
        <w:snapToGrid w:val="0"/>
        <w:spacing w:line="300" w:lineRule="auto"/>
        <w:ind w:firstLineChars="200" w:firstLine="420"/>
        <w:rPr>
          <w:rFonts w:ascii="宋体" w:hAnsi="宋体"/>
          <w:szCs w:val="21"/>
        </w:rPr>
      </w:pPr>
      <w:r w:rsidRPr="00414713">
        <w:rPr>
          <w:rFonts w:ascii="宋体" w:hAnsi="宋体" w:hint="eastAsia"/>
          <w:szCs w:val="21"/>
        </w:rPr>
        <w:t>（1）</w:t>
      </w:r>
      <w:r>
        <w:rPr>
          <w:rFonts w:ascii="宋体" w:hAnsi="宋体" w:hint="eastAsia"/>
          <w:szCs w:val="21"/>
        </w:rPr>
        <w:t>赊销销售收入的</w:t>
      </w:r>
      <w:r w:rsidRPr="00414713">
        <w:rPr>
          <w:rFonts w:ascii="宋体" w:hAnsi="宋体" w:hint="eastAsia"/>
          <w:szCs w:val="21"/>
        </w:rPr>
        <w:t>比例问题。从理论上讲，</w:t>
      </w:r>
      <w:r>
        <w:rPr>
          <w:rFonts w:ascii="宋体" w:hAnsi="宋体" w:hint="eastAsia"/>
          <w:szCs w:val="21"/>
        </w:rPr>
        <w:t>由于</w:t>
      </w:r>
      <w:r w:rsidRPr="00414713">
        <w:rPr>
          <w:rFonts w:ascii="宋体" w:hAnsi="宋体" w:hint="eastAsia"/>
          <w:szCs w:val="21"/>
        </w:rPr>
        <w:t>应收账款是赊销引起的，</w:t>
      </w:r>
      <w:r>
        <w:rPr>
          <w:rFonts w:ascii="宋体" w:hAnsi="宋体" w:hint="eastAsia"/>
          <w:szCs w:val="21"/>
        </w:rPr>
        <w:t>故</w:t>
      </w:r>
      <w:r w:rsidRPr="00414713">
        <w:rPr>
          <w:rFonts w:ascii="宋体" w:hAnsi="宋体" w:hint="eastAsia"/>
          <w:szCs w:val="21"/>
        </w:rPr>
        <w:t>其对应的流量是赊销额，而非全部销售收入。因此，计算时应使用赊销额而非销售收入。但是，</w:t>
      </w:r>
      <w:r>
        <w:rPr>
          <w:rFonts w:ascii="宋体" w:hAnsi="宋体" w:hint="eastAsia"/>
          <w:szCs w:val="21"/>
        </w:rPr>
        <w:t>在实际工作中，</w:t>
      </w:r>
      <w:r w:rsidRPr="00414713">
        <w:rPr>
          <w:rFonts w:ascii="宋体" w:hAnsi="宋体" w:hint="eastAsia"/>
          <w:szCs w:val="21"/>
        </w:rPr>
        <w:t>外部分析人员无法</w:t>
      </w:r>
      <w:r>
        <w:rPr>
          <w:rFonts w:ascii="宋体" w:hAnsi="宋体" w:hint="eastAsia"/>
          <w:szCs w:val="21"/>
        </w:rPr>
        <w:t>有效</w:t>
      </w:r>
      <w:r w:rsidRPr="00414713">
        <w:rPr>
          <w:rFonts w:ascii="宋体" w:hAnsi="宋体" w:hint="eastAsia"/>
          <w:szCs w:val="21"/>
        </w:rPr>
        <w:t>取得赊</w:t>
      </w:r>
      <w:r>
        <w:rPr>
          <w:rFonts w:ascii="宋体" w:hAnsi="宋体" w:hint="eastAsia"/>
          <w:szCs w:val="21"/>
        </w:rPr>
        <w:t>销数据，只能使用销售收入代替赊销收入进行计算。但是</w:t>
      </w:r>
      <w:r w:rsidRPr="00414713">
        <w:rPr>
          <w:rFonts w:ascii="宋体" w:hAnsi="宋体" w:hint="eastAsia"/>
          <w:szCs w:val="21"/>
        </w:rPr>
        <w:t>只要现销与赊销的比例保持稳定，</w:t>
      </w:r>
      <w:r>
        <w:rPr>
          <w:rFonts w:ascii="宋体" w:hAnsi="宋体" w:hint="eastAsia"/>
          <w:szCs w:val="21"/>
        </w:rPr>
        <w:t>并</w:t>
      </w:r>
      <w:r w:rsidRPr="00414713">
        <w:rPr>
          <w:rFonts w:ascii="宋体" w:hAnsi="宋体" w:hint="eastAsia"/>
          <w:szCs w:val="21"/>
        </w:rPr>
        <w:t>不妨碍与上期数据</w:t>
      </w:r>
      <w:r>
        <w:rPr>
          <w:rFonts w:ascii="宋体" w:hAnsi="宋体" w:hint="eastAsia"/>
          <w:szCs w:val="21"/>
        </w:rPr>
        <w:t>进行比较</w:t>
      </w:r>
      <w:r w:rsidRPr="00414713">
        <w:rPr>
          <w:rFonts w:ascii="宋体" w:hAnsi="宋体" w:hint="eastAsia"/>
          <w:szCs w:val="21"/>
        </w:rPr>
        <w:t>的有效性，只是</w:t>
      </w:r>
      <w:r>
        <w:rPr>
          <w:rFonts w:ascii="宋体" w:hAnsi="宋体" w:hint="eastAsia"/>
          <w:szCs w:val="21"/>
        </w:rPr>
        <w:t>这样做的后果会导致</w:t>
      </w:r>
      <w:r w:rsidRPr="00414713">
        <w:rPr>
          <w:rFonts w:ascii="宋体" w:hAnsi="宋体" w:hint="eastAsia"/>
          <w:szCs w:val="21"/>
        </w:rPr>
        <w:t>周转次数</w:t>
      </w:r>
      <w:r>
        <w:rPr>
          <w:rFonts w:ascii="宋体" w:hAnsi="宋体" w:hint="eastAsia"/>
          <w:szCs w:val="21"/>
        </w:rPr>
        <w:t>的高估</w:t>
      </w:r>
      <w:r w:rsidRPr="00414713">
        <w:rPr>
          <w:rFonts w:ascii="宋体" w:hAnsi="宋体" w:hint="eastAsia"/>
          <w:szCs w:val="21"/>
        </w:rPr>
        <w:t>。</w:t>
      </w:r>
      <w:r>
        <w:rPr>
          <w:rFonts w:ascii="宋体" w:hAnsi="宋体" w:hint="eastAsia"/>
          <w:szCs w:val="21"/>
        </w:rPr>
        <w:t>当</w:t>
      </w:r>
      <w:r w:rsidRPr="00414713">
        <w:rPr>
          <w:rFonts w:ascii="宋体" w:hAnsi="宋体" w:hint="eastAsia"/>
          <w:szCs w:val="21"/>
        </w:rPr>
        <w:t>与其他企业比较时，</w:t>
      </w:r>
      <w:r>
        <w:rPr>
          <w:rFonts w:ascii="宋体" w:hAnsi="宋体" w:hint="eastAsia"/>
          <w:szCs w:val="21"/>
        </w:rPr>
        <w:t>由于不知道可比企业的赊销比例，也就无从指导应收账款周转率是否可行</w:t>
      </w:r>
      <w:r w:rsidRPr="00414713">
        <w:rPr>
          <w:rFonts w:ascii="宋体" w:hAnsi="宋体" w:hint="eastAsia"/>
          <w:szCs w:val="21"/>
        </w:rPr>
        <w:t>。</w:t>
      </w:r>
    </w:p>
    <w:p w:rsidR="00A543E3" w:rsidRPr="00414713" w:rsidRDefault="00A543E3" w:rsidP="004E44DE">
      <w:pPr>
        <w:snapToGrid w:val="0"/>
        <w:spacing w:line="300" w:lineRule="auto"/>
        <w:ind w:firstLineChars="200" w:firstLine="420"/>
        <w:rPr>
          <w:rFonts w:ascii="宋体" w:hAnsi="宋体"/>
          <w:szCs w:val="21"/>
        </w:rPr>
      </w:pPr>
      <w:r w:rsidRPr="00414713">
        <w:rPr>
          <w:rFonts w:ascii="宋体" w:hAnsi="宋体" w:hint="eastAsia"/>
          <w:szCs w:val="21"/>
        </w:rPr>
        <w:t>（2）应收账款年末余额的可靠性问题。应收账款是特定时点的存量，容易受季节性、偶然性和人为因素</w:t>
      </w:r>
      <w:r>
        <w:rPr>
          <w:rFonts w:ascii="宋体" w:hAnsi="宋体" w:hint="eastAsia"/>
          <w:szCs w:val="21"/>
        </w:rPr>
        <w:t>的</w:t>
      </w:r>
      <w:r w:rsidRPr="00414713">
        <w:rPr>
          <w:rFonts w:ascii="宋体" w:hAnsi="宋体" w:hint="eastAsia"/>
          <w:szCs w:val="21"/>
        </w:rPr>
        <w:t>影响。在用应收账款周转率进行业绩评价时，可以使用年初和年末的平均数，或者使用多个时点的平均数，以减少这些因素</w:t>
      </w:r>
      <w:r>
        <w:rPr>
          <w:rFonts w:ascii="宋体" w:hAnsi="宋体" w:hint="eastAsia"/>
          <w:szCs w:val="21"/>
        </w:rPr>
        <w:t>带来</w:t>
      </w:r>
      <w:r w:rsidRPr="00414713">
        <w:rPr>
          <w:rFonts w:ascii="宋体" w:hAnsi="宋体" w:hint="eastAsia"/>
          <w:szCs w:val="21"/>
        </w:rPr>
        <w:t>的影响。</w:t>
      </w:r>
    </w:p>
    <w:p w:rsidR="00A543E3" w:rsidRDefault="00A543E3" w:rsidP="004E44DE">
      <w:pPr>
        <w:snapToGrid w:val="0"/>
        <w:spacing w:line="300" w:lineRule="auto"/>
        <w:ind w:firstLineChars="200" w:firstLine="420"/>
        <w:rPr>
          <w:rFonts w:ascii="宋体" w:hAnsi="宋体"/>
          <w:szCs w:val="21"/>
        </w:rPr>
      </w:pPr>
      <w:r w:rsidRPr="00414713">
        <w:rPr>
          <w:rFonts w:ascii="宋体" w:hAnsi="宋体" w:hint="eastAsia"/>
          <w:szCs w:val="21"/>
        </w:rPr>
        <w:t>（3）应收账款周转天数</w:t>
      </w:r>
      <w:r>
        <w:rPr>
          <w:rFonts w:ascii="宋体" w:hAnsi="宋体" w:hint="eastAsia"/>
          <w:szCs w:val="21"/>
        </w:rPr>
        <w:t>指标评价问题</w:t>
      </w:r>
      <w:r w:rsidRPr="00414713">
        <w:rPr>
          <w:rFonts w:ascii="宋体" w:hAnsi="宋体" w:hint="eastAsia"/>
          <w:szCs w:val="21"/>
        </w:rPr>
        <w:t>。应收账款是赊销引起的，如果赊销</w:t>
      </w:r>
      <w:r>
        <w:rPr>
          <w:rFonts w:ascii="宋体" w:hAnsi="宋体" w:hint="eastAsia"/>
          <w:szCs w:val="21"/>
        </w:rPr>
        <w:t>对企业</w:t>
      </w:r>
      <w:r>
        <w:rPr>
          <w:rFonts w:ascii="宋体" w:hAnsi="宋体"/>
          <w:szCs w:val="21"/>
        </w:rPr>
        <w:t>的盈利发展</w:t>
      </w:r>
      <w:r>
        <w:rPr>
          <w:rFonts w:ascii="宋体" w:hAnsi="宋体" w:hint="eastAsia"/>
          <w:szCs w:val="21"/>
        </w:rPr>
        <w:t>情况比现销更为有利，那么周转天数并</w:t>
      </w:r>
      <w:r w:rsidRPr="00414713">
        <w:rPr>
          <w:rFonts w:ascii="宋体" w:hAnsi="宋体" w:hint="eastAsia"/>
          <w:szCs w:val="21"/>
        </w:rPr>
        <w:t>不是越少越好。</w:t>
      </w:r>
    </w:p>
    <w:p w:rsidR="00A543E3" w:rsidRPr="00A543E3" w:rsidRDefault="00A543E3" w:rsidP="004E44DE">
      <w:pPr>
        <w:snapToGrid w:val="0"/>
        <w:spacing w:line="300" w:lineRule="auto"/>
        <w:ind w:firstLineChars="200" w:firstLine="420"/>
        <w:rPr>
          <w:rFonts w:ascii="宋体" w:hAnsi="宋体"/>
          <w:szCs w:val="21"/>
        </w:rPr>
      </w:pPr>
    </w:p>
    <w:p w:rsidR="00A543E3" w:rsidRPr="00C0383B" w:rsidRDefault="00A543E3" w:rsidP="004E44DE">
      <w:pPr>
        <w:snapToGrid w:val="0"/>
        <w:spacing w:line="300" w:lineRule="auto"/>
        <w:jc w:val="center"/>
        <w:rPr>
          <w:rFonts w:ascii="宋体" w:hAnsi="宋体"/>
          <w:szCs w:val="21"/>
        </w:rPr>
      </w:pPr>
    </w:p>
    <w:p w:rsidR="00A543E3" w:rsidRDefault="004E3A0D" w:rsidP="004E44DE">
      <w:pPr>
        <w:spacing w:line="300" w:lineRule="auto"/>
      </w:pPr>
      <w:r>
        <w:rPr>
          <w:rFonts w:hint="eastAsia"/>
        </w:rPr>
        <w:lastRenderedPageBreak/>
        <w:t>2</w:t>
      </w:r>
      <w:r w:rsidR="00D55BE7">
        <w:rPr>
          <w:rFonts w:hint="eastAsia"/>
        </w:rPr>
        <w:t>）</w:t>
      </w:r>
      <w:r w:rsidR="00A543E3" w:rsidRPr="00414713">
        <w:rPr>
          <w:rFonts w:ascii="宋体" w:hAnsi="宋体" w:hint="eastAsia"/>
          <w:szCs w:val="21"/>
        </w:rPr>
        <w:t>存货周转率</w:t>
      </w:r>
      <w:r w:rsidR="00A543E3">
        <w:rPr>
          <w:rFonts w:ascii="宋体" w:hAnsi="宋体" w:hint="eastAsia"/>
          <w:szCs w:val="21"/>
        </w:rPr>
        <w:t>和</w:t>
      </w:r>
      <w:r w:rsidR="00A543E3" w:rsidRPr="00414713">
        <w:rPr>
          <w:rFonts w:ascii="宋体" w:hAnsi="宋体" w:hint="eastAsia"/>
          <w:szCs w:val="21"/>
        </w:rPr>
        <w:t>存货周转天数</w:t>
      </w:r>
    </w:p>
    <w:p w:rsidR="00A543E3" w:rsidRPr="00414713" w:rsidRDefault="00A543E3" w:rsidP="004E44DE">
      <w:pPr>
        <w:snapToGrid w:val="0"/>
        <w:spacing w:line="300" w:lineRule="auto"/>
        <w:ind w:firstLineChars="200" w:firstLine="420"/>
        <w:rPr>
          <w:rFonts w:ascii="宋体" w:hAnsi="宋体"/>
          <w:szCs w:val="21"/>
        </w:rPr>
      </w:pPr>
      <w:r w:rsidRPr="00414713">
        <w:rPr>
          <w:rFonts w:ascii="宋体" w:hAnsi="宋体" w:hint="eastAsia"/>
          <w:szCs w:val="21"/>
        </w:rPr>
        <w:t>存货周转率是企业一定时期内销售成本（销售收入）与平均存货余额的比率。它可以反映企业存货变现能力和销货能力。其计算公式为：</w:t>
      </w:r>
    </w:p>
    <w:p w:rsidR="00A543E3" w:rsidRPr="000660EA" w:rsidRDefault="00A543E3" w:rsidP="004E44DE">
      <w:pPr>
        <w:snapToGrid w:val="0"/>
        <w:spacing w:line="300" w:lineRule="auto"/>
        <w:ind w:firstLineChars="200" w:firstLine="420"/>
        <w:rPr>
          <w:rFonts w:ascii="宋体" w:hAnsi="宋体"/>
          <w:szCs w:val="21"/>
        </w:rPr>
      </w:pPr>
      <m:oMathPara>
        <m:oMath>
          <m:r>
            <m:rPr>
              <m:sty m:val="p"/>
            </m:rPr>
            <w:rPr>
              <w:rFonts w:ascii="Cambria Math" w:hAnsi="Cambria Math"/>
              <w:szCs w:val="21"/>
            </w:rPr>
            <m:t>存货周转率（周转次数）</m:t>
          </m:r>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hint="eastAsia"/>
                  <w:szCs w:val="21"/>
                </w:rPr>
                <m:t>销售成本</m:t>
              </m:r>
              <m:r>
                <m:rPr>
                  <m:sty m:val="p"/>
                </m:rPr>
                <w:rPr>
                  <w:rFonts w:ascii="Cambria Math" w:hAnsi="Cambria Math"/>
                  <w:szCs w:val="21"/>
                </w:rPr>
                <m:t>（销售</m:t>
              </m:r>
              <m:r>
                <m:rPr>
                  <m:sty m:val="p"/>
                </m:rPr>
                <w:rPr>
                  <w:rFonts w:ascii="Cambria Math" w:hAnsi="Cambria Math" w:hint="eastAsia"/>
                  <w:szCs w:val="21"/>
                </w:rPr>
                <m:t>收入</m:t>
              </m:r>
              <m:r>
                <m:rPr>
                  <m:sty m:val="p"/>
                </m:rPr>
                <w:rPr>
                  <w:rFonts w:ascii="Cambria Math" w:hAnsi="Cambria Math"/>
                  <w:szCs w:val="21"/>
                </w:rPr>
                <m:t>）</m:t>
              </m:r>
            </m:num>
            <m:den>
              <m:r>
                <m:rPr>
                  <m:sty m:val="p"/>
                </m:rPr>
                <w:rPr>
                  <w:rFonts w:ascii="Cambria Math" w:hAnsi="Cambria Math"/>
                  <w:szCs w:val="21"/>
                </w:rPr>
                <m:t>存货平均余额</m:t>
              </m:r>
            </m:den>
          </m:f>
        </m:oMath>
      </m:oMathPara>
    </w:p>
    <w:p w:rsidR="00A543E3" w:rsidRPr="00414713" w:rsidRDefault="00A543E3" w:rsidP="004E44DE">
      <w:pPr>
        <w:snapToGrid w:val="0"/>
        <w:spacing w:line="300" w:lineRule="auto"/>
        <w:ind w:firstLineChars="200" w:firstLine="420"/>
        <w:rPr>
          <w:rFonts w:ascii="宋体" w:hAnsi="宋体"/>
          <w:szCs w:val="21"/>
        </w:rPr>
      </w:pPr>
      <w:r w:rsidRPr="00414713">
        <w:rPr>
          <w:rFonts w:ascii="宋体" w:hAnsi="宋体" w:hint="eastAsia"/>
          <w:szCs w:val="21"/>
        </w:rPr>
        <w:t>存货周转天数表明存货周转一次需要的时间，也就是存货转换成现金平均需要的时间。其计算公式为：</w:t>
      </w:r>
    </w:p>
    <w:p w:rsidR="00A543E3" w:rsidRPr="00AC606B" w:rsidRDefault="00A543E3" w:rsidP="004E44DE">
      <w:pPr>
        <w:snapToGrid w:val="0"/>
        <w:spacing w:line="300" w:lineRule="auto"/>
        <w:ind w:firstLineChars="200" w:firstLine="420"/>
        <w:rPr>
          <w:rFonts w:ascii="宋体" w:hAnsi="宋体"/>
          <w:szCs w:val="21"/>
        </w:rPr>
      </w:pPr>
      <m:oMathPara>
        <m:oMath>
          <m:r>
            <m:rPr>
              <m:sty m:val="p"/>
            </m:rPr>
            <w:rPr>
              <w:rFonts w:ascii="Cambria Math" w:hAnsi="Cambria Math"/>
              <w:szCs w:val="21"/>
            </w:rPr>
            <m:t>存货周转天数</m:t>
          </m:r>
          <m:r>
            <m:rPr>
              <m:sty m:val="p"/>
            </m:rPr>
            <w:rPr>
              <w:rFonts w:ascii="Cambria Math" w:hAnsi="Cambria Math"/>
              <w:szCs w:val="21"/>
            </w:rPr>
            <m:t>=</m:t>
          </m:r>
          <m:f>
            <m:fPr>
              <m:ctrlPr>
                <w:rPr>
                  <w:rFonts w:ascii="Cambria Math" w:hAnsi="Cambria Math"/>
                  <w:szCs w:val="21"/>
                </w:rPr>
              </m:ctrlPr>
            </m:fPr>
            <m:num>
              <m:r>
                <w:rPr>
                  <w:rFonts w:ascii="Cambria Math" w:hAnsi="Cambria Math"/>
                  <w:szCs w:val="21"/>
                </w:rPr>
                <m:t>365</m:t>
              </m:r>
            </m:num>
            <m:den>
              <m:r>
                <m:rPr>
                  <m:sty m:val="p"/>
                </m:rPr>
                <w:rPr>
                  <w:rFonts w:ascii="Cambria Math" w:hAnsi="Cambria Math"/>
                  <w:szCs w:val="21"/>
                </w:rPr>
                <m:t>存货周转率</m:t>
              </m:r>
            </m:den>
          </m:f>
        </m:oMath>
      </m:oMathPara>
    </w:p>
    <w:p w:rsidR="00A543E3" w:rsidRPr="00414713" w:rsidRDefault="00A543E3" w:rsidP="004E44DE">
      <w:pPr>
        <w:snapToGrid w:val="0"/>
        <w:spacing w:line="300" w:lineRule="auto"/>
        <w:ind w:firstLineChars="200" w:firstLine="420"/>
        <w:rPr>
          <w:rFonts w:ascii="宋体" w:hAnsi="宋体"/>
          <w:szCs w:val="21"/>
        </w:rPr>
      </w:pPr>
      <w:r w:rsidRPr="00414713">
        <w:rPr>
          <w:rFonts w:ascii="宋体" w:hAnsi="宋体" w:hint="eastAsia"/>
          <w:szCs w:val="21"/>
        </w:rPr>
        <w:t>在计算和使用存货周转率时应注意的问题</w:t>
      </w:r>
      <w:r>
        <w:rPr>
          <w:rFonts w:ascii="宋体" w:hAnsi="宋体" w:hint="eastAsia"/>
          <w:szCs w:val="21"/>
        </w:rPr>
        <w:t>：</w:t>
      </w:r>
    </w:p>
    <w:p w:rsidR="00A543E3" w:rsidRPr="00414713" w:rsidRDefault="00A543E3" w:rsidP="004E44DE">
      <w:pPr>
        <w:snapToGrid w:val="0"/>
        <w:spacing w:line="300" w:lineRule="auto"/>
        <w:ind w:firstLineChars="200" w:firstLine="420"/>
        <w:rPr>
          <w:rFonts w:ascii="宋体" w:hAnsi="宋体"/>
          <w:szCs w:val="21"/>
        </w:rPr>
      </w:pPr>
      <w:r w:rsidRPr="00414713">
        <w:rPr>
          <w:rFonts w:ascii="宋体" w:hAnsi="宋体" w:hint="eastAsia"/>
          <w:szCs w:val="21"/>
        </w:rPr>
        <w:t>（1）计算存货周转率时，</w:t>
      </w:r>
      <w:r>
        <w:rPr>
          <w:rFonts w:ascii="宋体" w:hAnsi="宋体" w:hint="eastAsia"/>
          <w:szCs w:val="21"/>
        </w:rPr>
        <w:t>在选择使用</w:t>
      </w:r>
      <w:r w:rsidRPr="00414713">
        <w:rPr>
          <w:rFonts w:ascii="宋体" w:hAnsi="宋体" w:hint="eastAsia"/>
          <w:szCs w:val="21"/>
        </w:rPr>
        <w:t>“销售收入”还是“销售成本”作为</w:t>
      </w:r>
      <w:r>
        <w:rPr>
          <w:rFonts w:ascii="宋体" w:hAnsi="宋体" w:hint="eastAsia"/>
          <w:szCs w:val="21"/>
        </w:rPr>
        <w:t>指标计算</w:t>
      </w:r>
      <w:r w:rsidRPr="00414713">
        <w:rPr>
          <w:rFonts w:ascii="宋体" w:hAnsi="宋体" w:hint="eastAsia"/>
          <w:szCs w:val="21"/>
        </w:rPr>
        <w:t>周转率，要看分析的目的。若评估资产的获利能力或为分析各项资产的周转情况并识别主要影响因素，应使用“营业收入”作为周转额；若为评价资产流动性或企业存货管理的业绩，则应使用“营业成本”计算存货周转率，使其分子、分母应保持口径一致。实际工作中，两种周转率的差额是由毛利引起的，用哪一种计算都能达到分析目的。</w:t>
      </w:r>
    </w:p>
    <w:p w:rsidR="00A543E3" w:rsidRPr="00414713" w:rsidRDefault="00A543E3" w:rsidP="004E44DE">
      <w:pPr>
        <w:snapToGrid w:val="0"/>
        <w:spacing w:line="300" w:lineRule="auto"/>
        <w:ind w:firstLineChars="200" w:firstLine="420"/>
        <w:rPr>
          <w:rFonts w:ascii="宋体" w:hAnsi="宋体"/>
          <w:szCs w:val="21"/>
        </w:rPr>
      </w:pPr>
      <w:r w:rsidRPr="00414713">
        <w:rPr>
          <w:rFonts w:ascii="宋体" w:hAnsi="宋体" w:hint="eastAsia"/>
          <w:szCs w:val="21"/>
        </w:rPr>
        <w:t>（2）存货周转天数不是越少越好。存货过多会浪费企业资金，存货过少则不能满足流转的需要，在特定的生产经营条件下</w:t>
      </w:r>
      <w:r>
        <w:rPr>
          <w:rFonts w:ascii="宋体" w:hAnsi="宋体" w:hint="eastAsia"/>
          <w:szCs w:val="21"/>
        </w:rPr>
        <w:t>会</w:t>
      </w:r>
      <w:r w:rsidRPr="00414713">
        <w:rPr>
          <w:rFonts w:ascii="宋体" w:hAnsi="宋体" w:hint="eastAsia"/>
          <w:szCs w:val="21"/>
        </w:rPr>
        <w:t>存在一个最佳的存货水平，所以存货不是</w:t>
      </w:r>
      <w:r>
        <w:rPr>
          <w:rFonts w:ascii="宋体" w:hAnsi="宋体" w:hint="eastAsia"/>
          <w:szCs w:val="21"/>
        </w:rPr>
        <w:t>不是一味地追求低库存，还需要与企业具体的经营活动相联系</w:t>
      </w:r>
      <w:r w:rsidRPr="00414713">
        <w:rPr>
          <w:rFonts w:ascii="宋体" w:hAnsi="宋体" w:hint="eastAsia"/>
          <w:szCs w:val="21"/>
        </w:rPr>
        <w:t>。</w:t>
      </w:r>
    </w:p>
    <w:p w:rsidR="00A543E3" w:rsidRPr="00414713" w:rsidRDefault="00A543E3" w:rsidP="004E44DE">
      <w:pPr>
        <w:snapToGrid w:val="0"/>
        <w:spacing w:line="300" w:lineRule="auto"/>
        <w:ind w:firstLineChars="200" w:firstLine="420"/>
        <w:rPr>
          <w:rFonts w:ascii="宋体" w:hAnsi="宋体"/>
          <w:szCs w:val="21"/>
        </w:rPr>
      </w:pPr>
      <w:r w:rsidRPr="00414713">
        <w:rPr>
          <w:rFonts w:ascii="宋体" w:hAnsi="宋体" w:hint="eastAsia"/>
          <w:szCs w:val="21"/>
        </w:rPr>
        <w:t>（3）应关注构成存货的原材料、在产品、半成品、产成品和低值易耗品之间的比例关系。如果产成品大量增加，其他项目减少，很可能是销售不顺，放慢了生产节奏。</w:t>
      </w:r>
      <w:r>
        <w:rPr>
          <w:rFonts w:ascii="宋体" w:hAnsi="宋体" w:hint="eastAsia"/>
          <w:szCs w:val="21"/>
        </w:rPr>
        <w:t>此时，</w:t>
      </w:r>
      <w:r w:rsidRPr="00414713">
        <w:rPr>
          <w:rFonts w:ascii="宋体" w:hAnsi="宋体" w:hint="eastAsia"/>
          <w:szCs w:val="21"/>
        </w:rPr>
        <w:t>存货金额</w:t>
      </w:r>
      <w:r>
        <w:rPr>
          <w:rFonts w:ascii="宋体" w:hAnsi="宋体" w:hint="eastAsia"/>
          <w:szCs w:val="21"/>
        </w:rPr>
        <w:t>的总量</w:t>
      </w:r>
      <w:r w:rsidRPr="00414713">
        <w:rPr>
          <w:rFonts w:ascii="宋体" w:hAnsi="宋体" w:hint="eastAsia"/>
          <w:szCs w:val="21"/>
        </w:rPr>
        <w:t>可能并没有显著变动，甚至尚未引起存货周转率的显著变化。因此，在财务分析时既要重点关注变化大的项目，也不能完全忽视变化不大的项目，其内部可能隐藏着重要的问题。</w:t>
      </w:r>
    </w:p>
    <w:p w:rsidR="00A543E3" w:rsidRPr="00A543E3" w:rsidRDefault="00A543E3" w:rsidP="004E44DE">
      <w:pPr>
        <w:snapToGrid w:val="0"/>
        <w:spacing w:line="300" w:lineRule="auto"/>
      </w:pPr>
    </w:p>
    <w:p w:rsidR="004E3A0D" w:rsidRDefault="004E3A0D" w:rsidP="004E44DE">
      <w:pPr>
        <w:snapToGrid w:val="0"/>
        <w:spacing w:line="300" w:lineRule="auto"/>
        <w:rPr>
          <w:rFonts w:ascii="宋体" w:hAnsi="宋体"/>
          <w:szCs w:val="21"/>
        </w:rPr>
      </w:pPr>
      <w:r>
        <w:rPr>
          <w:rFonts w:hint="eastAsia"/>
        </w:rPr>
        <w:t>3</w:t>
      </w:r>
      <w:r w:rsidR="00D55BE7">
        <w:rPr>
          <w:rFonts w:hint="eastAsia"/>
        </w:rPr>
        <w:t>）</w:t>
      </w:r>
      <w:r w:rsidRPr="00414713">
        <w:rPr>
          <w:rFonts w:ascii="宋体" w:hAnsi="宋体" w:hint="eastAsia"/>
          <w:szCs w:val="21"/>
        </w:rPr>
        <w:t>流动资产周转率</w:t>
      </w:r>
      <w:r>
        <w:rPr>
          <w:rFonts w:ascii="宋体" w:hAnsi="宋体" w:hint="eastAsia"/>
          <w:szCs w:val="21"/>
        </w:rPr>
        <w:t>和</w:t>
      </w:r>
      <w:r w:rsidRPr="00414713">
        <w:rPr>
          <w:rFonts w:ascii="宋体" w:hAnsi="宋体" w:hint="eastAsia"/>
          <w:szCs w:val="21"/>
        </w:rPr>
        <w:t>流动资产周转天数</w:t>
      </w:r>
    </w:p>
    <w:p w:rsidR="004E3A0D" w:rsidRPr="00414713" w:rsidRDefault="004E3A0D" w:rsidP="004E44DE">
      <w:pPr>
        <w:snapToGrid w:val="0"/>
        <w:spacing w:line="300" w:lineRule="auto"/>
        <w:ind w:firstLineChars="200" w:firstLine="420"/>
        <w:rPr>
          <w:rFonts w:ascii="宋体" w:hAnsi="宋体"/>
          <w:szCs w:val="21"/>
        </w:rPr>
      </w:pPr>
      <w:r w:rsidRPr="00414713">
        <w:rPr>
          <w:rFonts w:ascii="宋体" w:hAnsi="宋体" w:hint="eastAsia"/>
          <w:szCs w:val="21"/>
        </w:rPr>
        <w:t>流动资产周转率是销售收入与流动资产</w:t>
      </w:r>
      <w:r>
        <w:rPr>
          <w:rFonts w:ascii="宋体" w:hAnsi="宋体" w:hint="eastAsia"/>
          <w:szCs w:val="21"/>
        </w:rPr>
        <w:t>平均余额</w:t>
      </w:r>
      <w:r w:rsidRPr="00414713">
        <w:rPr>
          <w:rFonts w:ascii="宋体" w:hAnsi="宋体" w:hint="eastAsia"/>
          <w:szCs w:val="21"/>
        </w:rPr>
        <w:t>的比率，</w:t>
      </w:r>
      <w:r>
        <w:rPr>
          <w:rFonts w:ascii="宋体" w:hAnsi="宋体" w:hint="eastAsia"/>
          <w:szCs w:val="21"/>
        </w:rPr>
        <w:t>反映</w:t>
      </w:r>
      <w:r>
        <w:rPr>
          <w:rFonts w:ascii="宋体" w:hAnsi="宋体"/>
          <w:szCs w:val="21"/>
        </w:rPr>
        <w:t>企业对流动</w:t>
      </w:r>
      <w:r>
        <w:rPr>
          <w:rFonts w:ascii="宋体" w:hAnsi="宋体" w:hint="eastAsia"/>
          <w:szCs w:val="21"/>
        </w:rPr>
        <w:t>资产</w:t>
      </w:r>
      <w:r>
        <w:rPr>
          <w:rFonts w:ascii="宋体" w:hAnsi="宋体"/>
          <w:szCs w:val="21"/>
        </w:rPr>
        <w:t>的</w:t>
      </w:r>
      <w:r>
        <w:rPr>
          <w:rFonts w:ascii="宋体" w:hAnsi="宋体" w:hint="eastAsia"/>
          <w:szCs w:val="21"/>
        </w:rPr>
        <w:t>利用效率</w:t>
      </w:r>
      <w:r>
        <w:rPr>
          <w:rFonts w:ascii="宋体" w:hAnsi="宋体"/>
          <w:szCs w:val="21"/>
        </w:rPr>
        <w:t>，</w:t>
      </w:r>
      <w:r w:rsidRPr="00414713">
        <w:rPr>
          <w:rFonts w:ascii="宋体" w:hAnsi="宋体" w:hint="eastAsia"/>
          <w:szCs w:val="21"/>
        </w:rPr>
        <w:t>其计算公式如下：</w:t>
      </w:r>
      <w:bookmarkStart w:id="1" w:name="_GoBack"/>
      <w:bookmarkEnd w:id="1"/>
    </w:p>
    <w:p w:rsidR="004E3A0D" w:rsidRDefault="004E3A0D" w:rsidP="004E44DE">
      <w:pPr>
        <w:snapToGrid w:val="0"/>
        <w:spacing w:line="300" w:lineRule="auto"/>
        <w:ind w:firstLineChars="200" w:firstLine="420"/>
        <w:rPr>
          <w:rFonts w:ascii="宋体" w:hAnsi="宋体"/>
          <w:szCs w:val="21"/>
        </w:rPr>
      </w:pPr>
      <m:oMathPara>
        <m:oMath>
          <m:r>
            <m:rPr>
              <m:sty m:val="p"/>
            </m:rPr>
            <w:rPr>
              <w:rFonts w:ascii="Cambria Math" w:hAnsi="Cambria Math"/>
              <w:szCs w:val="21"/>
            </w:rPr>
            <m:t>流动资产周转率（周转次数）</m:t>
          </m:r>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销售收入</m:t>
              </m:r>
            </m:num>
            <m:den>
              <m:r>
                <m:rPr>
                  <m:sty m:val="p"/>
                </m:rPr>
                <w:rPr>
                  <w:rFonts w:ascii="Cambria Math" w:hAnsi="Cambria Math"/>
                  <w:szCs w:val="21"/>
                </w:rPr>
                <m:t>流动资产</m:t>
              </m:r>
              <m:r>
                <m:rPr>
                  <m:sty m:val="p"/>
                </m:rPr>
                <w:rPr>
                  <w:rFonts w:ascii="Cambria Math" w:hAnsi="Cambria Math" w:hint="eastAsia"/>
                  <w:szCs w:val="21"/>
                </w:rPr>
                <m:t>平均余额</m:t>
              </m:r>
            </m:den>
          </m:f>
        </m:oMath>
      </m:oMathPara>
    </w:p>
    <w:p w:rsidR="004E3A0D" w:rsidRPr="00414713" w:rsidRDefault="004E3A0D" w:rsidP="004E44DE">
      <w:pPr>
        <w:snapToGrid w:val="0"/>
        <w:spacing w:line="300" w:lineRule="auto"/>
        <w:ind w:firstLineChars="200" w:firstLine="420"/>
        <w:rPr>
          <w:rFonts w:ascii="宋体" w:hAnsi="宋体"/>
          <w:szCs w:val="21"/>
        </w:rPr>
      </w:pPr>
      <w:r w:rsidRPr="00414713">
        <w:rPr>
          <w:rFonts w:ascii="宋体" w:hAnsi="宋体" w:hint="eastAsia"/>
          <w:szCs w:val="21"/>
        </w:rPr>
        <w:t>流动资产周转天数表明流动资产周转一次需要的时间，也就是流动资产转换成现金平均需要的时间。其计算公式如下：</w:t>
      </w:r>
    </w:p>
    <w:p w:rsidR="004E3A0D" w:rsidRPr="00414713" w:rsidRDefault="004E3A0D" w:rsidP="004E44DE">
      <w:pPr>
        <w:snapToGrid w:val="0"/>
        <w:spacing w:line="300" w:lineRule="auto"/>
        <w:ind w:firstLineChars="200" w:firstLine="420"/>
        <w:rPr>
          <w:rFonts w:ascii="宋体" w:hAnsi="宋体"/>
          <w:szCs w:val="21"/>
        </w:rPr>
      </w:pPr>
      <m:oMathPara>
        <m:oMath>
          <m:r>
            <m:rPr>
              <m:sty m:val="p"/>
            </m:rPr>
            <w:rPr>
              <w:rFonts w:ascii="Cambria Math" w:hAnsi="Cambria Math"/>
              <w:szCs w:val="21"/>
            </w:rPr>
            <m:t>流动资产周转天数</m:t>
          </m:r>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365</m:t>
              </m:r>
            </m:num>
            <m:den>
              <m:r>
                <m:rPr>
                  <m:sty m:val="p"/>
                </m:rPr>
                <w:rPr>
                  <w:rFonts w:ascii="Cambria Math" w:hAnsi="Cambria Math"/>
                  <w:szCs w:val="21"/>
                </w:rPr>
                <m:t>流动资产周转率</m:t>
              </m:r>
            </m:den>
          </m:f>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365×</m:t>
              </m:r>
              <m:r>
                <m:rPr>
                  <m:sty m:val="p"/>
                </m:rPr>
                <w:rPr>
                  <w:rFonts w:ascii="Cambria Math" w:hAnsi="Cambria Math"/>
                  <w:szCs w:val="21"/>
                </w:rPr>
                <m:t>流动资产</m:t>
              </m:r>
              <m:r>
                <m:rPr>
                  <m:sty m:val="p"/>
                </m:rPr>
                <w:rPr>
                  <w:rFonts w:ascii="Cambria Math" w:hAnsi="Cambria Math" w:hint="eastAsia"/>
                  <w:szCs w:val="21"/>
                </w:rPr>
                <m:t>平均余额</m:t>
              </m:r>
            </m:num>
            <m:den>
              <m:r>
                <m:rPr>
                  <m:sty m:val="p"/>
                </m:rPr>
                <w:rPr>
                  <w:rFonts w:ascii="Cambria Math" w:hAnsi="Cambria Math" w:hint="eastAsia"/>
                  <w:szCs w:val="21"/>
                </w:rPr>
                <m:t>销售收入</m:t>
              </m:r>
            </m:den>
          </m:f>
        </m:oMath>
      </m:oMathPara>
    </w:p>
    <w:p w:rsidR="004E3A0D" w:rsidRDefault="004E3A0D" w:rsidP="004E44DE">
      <w:pPr>
        <w:snapToGrid w:val="0"/>
        <w:spacing w:line="300" w:lineRule="auto"/>
        <w:ind w:firstLineChars="200" w:firstLine="420"/>
        <w:rPr>
          <w:rFonts w:ascii="宋体" w:hAnsi="宋体"/>
          <w:szCs w:val="21"/>
        </w:rPr>
      </w:pPr>
      <w:r w:rsidRPr="00414713">
        <w:rPr>
          <w:rFonts w:ascii="宋体" w:hAnsi="宋体" w:hint="eastAsia"/>
          <w:szCs w:val="21"/>
        </w:rPr>
        <w:t>在计算和使用</w:t>
      </w:r>
      <w:r>
        <w:rPr>
          <w:rFonts w:ascii="宋体" w:hAnsi="宋体" w:hint="eastAsia"/>
          <w:szCs w:val="21"/>
        </w:rPr>
        <w:t>流动资产</w:t>
      </w:r>
      <w:r w:rsidRPr="00414713">
        <w:rPr>
          <w:rFonts w:ascii="宋体" w:hAnsi="宋体" w:hint="eastAsia"/>
          <w:szCs w:val="21"/>
        </w:rPr>
        <w:t>周转率时应注意的问题</w:t>
      </w:r>
      <w:r>
        <w:rPr>
          <w:rFonts w:ascii="宋体" w:hAnsi="宋体" w:hint="eastAsia"/>
          <w:szCs w:val="21"/>
        </w:rPr>
        <w:t>：</w:t>
      </w:r>
    </w:p>
    <w:p w:rsidR="004E3A0D" w:rsidRDefault="004E3A0D" w:rsidP="004E44DE">
      <w:pPr>
        <w:snapToGrid w:val="0"/>
        <w:spacing w:line="300" w:lineRule="auto"/>
        <w:ind w:firstLineChars="200" w:firstLine="420"/>
        <w:rPr>
          <w:rFonts w:ascii="宋体" w:hAnsi="宋体"/>
          <w:szCs w:val="21"/>
        </w:rPr>
      </w:pPr>
      <w:r>
        <w:rPr>
          <w:rFonts w:ascii="宋体" w:hAnsi="宋体" w:hint="eastAsia"/>
          <w:szCs w:val="21"/>
        </w:rPr>
        <w:t>（1）</w:t>
      </w:r>
      <w:r w:rsidRPr="000801C7">
        <w:rPr>
          <w:rFonts w:ascii="宋体" w:hAnsi="宋体" w:hint="eastAsia"/>
          <w:szCs w:val="21"/>
        </w:rPr>
        <w:t>一般情况下，该指标越高，表明企业流动资产周转速度越快，利用越好。</w:t>
      </w:r>
      <w:r>
        <w:rPr>
          <w:rFonts w:ascii="宋体" w:hAnsi="宋体" w:hint="eastAsia"/>
          <w:szCs w:val="21"/>
        </w:rPr>
        <w:t>但是</w:t>
      </w:r>
      <w:r>
        <w:rPr>
          <w:rFonts w:ascii="宋体" w:hAnsi="宋体"/>
          <w:szCs w:val="21"/>
        </w:rPr>
        <w:t>究竟流动资产周转率应该达到多少才算</w:t>
      </w:r>
      <w:r>
        <w:rPr>
          <w:rFonts w:ascii="宋体" w:hAnsi="宋体" w:hint="eastAsia"/>
          <w:szCs w:val="21"/>
        </w:rPr>
        <w:t>好</w:t>
      </w:r>
      <w:r>
        <w:rPr>
          <w:rFonts w:ascii="宋体" w:hAnsi="宋体"/>
          <w:szCs w:val="21"/>
        </w:rPr>
        <w:t>，</w:t>
      </w:r>
      <w:r>
        <w:rPr>
          <w:rFonts w:ascii="宋体" w:hAnsi="宋体" w:hint="eastAsia"/>
          <w:szCs w:val="21"/>
        </w:rPr>
        <w:t>并没有一个</w:t>
      </w:r>
      <w:r>
        <w:rPr>
          <w:rFonts w:ascii="宋体" w:hAnsi="宋体"/>
          <w:szCs w:val="21"/>
        </w:rPr>
        <w:t>确定的标准，对企业流动资产周转率的分析应该</w:t>
      </w:r>
      <w:r>
        <w:rPr>
          <w:rFonts w:ascii="宋体" w:hAnsi="宋体" w:hint="eastAsia"/>
          <w:szCs w:val="21"/>
        </w:rPr>
        <w:t>基于</w:t>
      </w:r>
      <w:r>
        <w:rPr>
          <w:rFonts w:ascii="宋体" w:hAnsi="宋体"/>
          <w:szCs w:val="21"/>
        </w:rPr>
        <w:t>企业</w:t>
      </w:r>
      <w:r>
        <w:rPr>
          <w:rFonts w:ascii="宋体" w:hAnsi="宋体" w:hint="eastAsia"/>
          <w:szCs w:val="21"/>
        </w:rPr>
        <w:t>历年</w:t>
      </w:r>
      <w:r>
        <w:rPr>
          <w:rFonts w:ascii="宋体" w:hAnsi="宋体"/>
          <w:szCs w:val="21"/>
        </w:rPr>
        <w:t>的数据以及同</w:t>
      </w:r>
      <w:r>
        <w:rPr>
          <w:rFonts w:ascii="宋体" w:hAnsi="宋体" w:hint="eastAsia"/>
          <w:szCs w:val="21"/>
        </w:rPr>
        <w:t>行业状况</w:t>
      </w:r>
      <w:r>
        <w:rPr>
          <w:rFonts w:ascii="宋体" w:hAnsi="宋体"/>
          <w:szCs w:val="21"/>
        </w:rPr>
        <w:t>。</w:t>
      </w:r>
    </w:p>
    <w:p w:rsidR="004E3A0D" w:rsidRPr="000801C7" w:rsidRDefault="004E3A0D" w:rsidP="004E44DE">
      <w:pPr>
        <w:snapToGrid w:val="0"/>
        <w:spacing w:line="300" w:lineRule="auto"/>
        <w:ind w:firstLineChars="200" w:firstLine="420"/>
        <w:rPr>
          <w:rFonts w:ascii="宋体" w:hAnsi="宋体"/>
          <w:szCs w:val="21"/>
        </w:rPr>
      </w:pPr>
      <w:r>
        <w:rPr>
          <w:rFonts w:ascii="宋体" w:hAnsi="宋体" w:hint="eastAsia"/>
          <w:szCs w:val="21"/>
        </w:rPr>
        <w:t>（2）</w:t>
      </w:r>
      <w:r>
        <w:rPr>
          <w:rFonts w:ascii="宋体" w:hAnsi="宋体"/>
          <w:szCs w:val="21"/>
        </w:rPr>
        <w:t>流动资产周转率是一个分析的综合指标，作为营运能力的关键因素，不能将流动资产</w:t>
      </w:r>
      <w:r>
        <w:rPr>
          <w:rFonts w:ascii="宋体" w:hAnsi="宋体" w:hint="eastAsia"/>
          <w:szCs w:val="21"/>
        </w:rPr>
        <w:t>周转率</w:t>
      </w:r>
      <w:r>
        <w:rPr>
          <w:rFonts w:ascii="宋体" w:hAnsi="宋体"/>
          <w:szCs w:val="21"/>
        </w:rPr>
        <w:t>的分析与</w:t>
      </w:r>
      <w:r>
        <w:rPr>
          <w:rFonts w:ascii="宋体" w:hAnsi="宋体" w:hint="eastAsia"/>
          <w:szCs w:val="21"/>
        </w:rPr>
        <w:t>企业</w:t>
      </w:r>
      <w:r>
        <w:rPr>
          <w:rFonts w:ascii="宋体" w:hAnsi="宋体"/>
          <w:szCs w:val="21"/>
        </w:rPr>
        <w:t>的</w:t>
      </w:r>
      <w:r>
        <w:rPr>
          <w:rFonts w:ascii="宋体" w:hAnsi="宋体" w:hint="eastAsia"/>
          <w:szCs w:val="21"/>
        </w:rPr>
        <w:t>偿债能力</w:t>
      </w:r>
      <w:r>
        <w:rPr>
          <w:rFonts w:ascii="宋体" w:hAnsi="宋体"/>
          <w:szCs w:val="21"/>
        </w:rPr>
        <w:t>以及盈利能力割裂开来，而一味的追求高流动资产周转率。</w:t>
      </w:r>
    </w:p>
    <w:p w:rsidR="00A543E3" w:rsidRPr="00555A09" w:rsidRDefault="00A543E3" w:rsidP="004E44DE">
      <w:pPr>
        <w:spacing w:line="300" w:lineRule="auto"/>
        <w:ind w:left="840"/>
        <w:rPr>
          <w:szCs w:val="21"/>
        </w:rPr>
      </w:pPr>
    </w:p>
    <w:p w:rsidR="00A543E3" w:rsidRDefault="00A543E3" w:rsidP="004E44DE">
      <w:pPr>
        <w:pStyle w:val="3"/>
        <w:spacing w:before="0" w:after="0" w:line="300" w:lineRule="auto"/>
        <w:ind w:firstLineChars="200" w:firstLine="422"/>
        <w:rPr>
          <w:rFonts w:asciiTheme="minorEastAsia" w:hAnsiTheme="minorEastAsia"/>
          <w:kern w:val="0"/>
          <w:sz w:val="21"/>
          <w:szCs w:val="21"/>
        </w:rPr>
      </w:pPr>
      <w:r w:rsidRPr="001F44E8">
        <w:rPr>
          <w:rFonts w:ascii="宋体" w:hAnsi="宋体" w:hint="eastAsia"/>
          <w:sz w:val="21"/>
          <w:szCs w:val="21"/>
        </w:rPr>
        <w:t>3．</w:t>
      </w:r>
      <w:r w:rsidR="004E3A0D" w:rsidRPr="004E3A0D">
        <w:rPr>
          <w:rFonts w:asciiTheme="minorEastAsia" w:hAnsiTheme="minorEastAsia" w:hint="eastAsia"/>
          <w:kern w:val="0"/>
          <w:sz w:val="21"/>
          <w:szCs w:val="21"/>
        </w:rPr>
        <w:t>M公司2X14年</w:t>
      </w:r>
      <w:r w:rsidR="004E3A0D">
        <w:rPr>
          <w:rFonts w:asciiTheme="minorEastAsia" w:hAnsiTheme="minorEastAsia" w:hint="eastAsia"/>
          <w:kern w:val="0"/>
          <w:sz w:val="21"/>
          <w:szCs w:val="21"/>
        </w:rPr>
        <w:t>流动资产周转率以及总资产周转率。</w:t>
      </w:r>
    </w:p>
    <w:p w:rsidR="004E3A0D" w:rsidRDefault="004E3A0D" w:rsidP="004E44DE">
      <w:pPr>
        <w:spacing w:line="300" w:lineRule="auto"/>
      </w:pPr>
      <w:r>
        <w:rPr>
          <w:rFonts w:hint="eastAsia"/>
        </w:rPr>
        <w:t>应收账款周转率</w:t>
      </w:r>
      <w:r>
        <w:rPr>
          <w:rFonts w:hint="eastAsia"/>
        </w:rPr>
        <w:t>=6000/250=24</w:t>
      </w:r>
      <w:r>
        <w:rPr>
          <w:rFonts w:hint="eastAsia"/>
        </w:rPr>
        <w:t>（次）</w:t>
      </w:r>
    </w:p>
    <w:p w:rsidR="004E3A0D" w:rsidRDefault="004E3A0D" w:rsidP="004E44DE">
      <w:pPr>
        <w:spacing w:line="300" w:lineRule="auto"/>
      </w:pPr>
      <w:r>
        <w:rPr>
          <w:rFonts w:hint="eastAsia"/>
        </w:rPr>
        <w:t>存货周转率</w:t>
      </w:r>
      <w:r>
        <w:rPr>
          <w:rFonts w:hint="eastAsia"/>
        </w:rPr>
        <w:t>=6000/425=14.12</w:t>
      </w:r>
      <w:r>
        <w:rPr>
          <w:rFonts w:hint="eastAsia"/>
        </w:rPr>
        <w:t>（次）</w:t>
      </w:r>
    </w:p>
    <w:p w:rsidR="004E3A0D" w:rsidRDefault="004E3A0D" w:rsidP="004E44DE">
      <w:pPr>
        <w:spacing w:line="300" w:lineRule="auto"/>
      </w:pPr>
      <w:r>
        <w:rPr>
          <w:rFonts w:hint="eastAsia"/>
        </w:rPr>
        <w:t>流动资产周转率</w:t>
      </w:r>
      <w:r>
        <w:rPr>
          <w:rFonts w:hint="eastAsia"/>
        </w:rPr>
        <w:t>=6000/1000=6</w:t>
      </w:r>
      <w:r>
        <w:rPr>
          <w:rFonts w:hint="eastAsia"/>
        </w:rPr>
        <w:t>（次）</w:t>
      </w:r>
    </w:p>
    <w:p w:rsidR="004E3A0D" w:rsidRPr="004E3A0D" w:rsidRDefault="004E3A0D" w:rsidP="004E44DE">
      <w:pPr>
        <w:spacing w:line="300" w:lineRule="auto"/>
      </w:pPr>
      <w:r>
        <w:rPr>
          <w:rFonts w:hint="eastAsia"/>
        </w:rPr>
        <w:t>总资产周转率</w:t>
      </w:r>
      <w:r>
        <w:rPr>
          <w:rFonts w:hint="eastAsia"/>
        </w:rPr>
        <w:t>=6000/</w:t>
      </w:r>
      <w:r w:rsidR="002876AA">
        <w:rPr>
          <w:rFonts w:hint="eastAsia"/>
        </w:rPr>
        <w:t>4550=1.32</w:t>
      </w:r>
      <w:r w:rsidR="002876AA">
        <w:rPr>
          <w:rFonts w:hint="eastAsia"/>
        </w:rPr>
        <w:t>（次）</w:t>
      </w:r>
    </w:p>
    <w:p w:rsidR="00A543E3" w:rsidRPr="002876AA" w:rsidRDefault="00A543E3" w:rsidP="004E44DE">
      <w:pPr>
        <w:pStyle w:val="3"/>
        <w:spacing w:before="0" w:after="0" w:line="300" w:lineRule="auto"/>
        <w:ind w:firstLineChars="200" w:firstLine="422"/>
        <w:rPr>
          <w:rFonts w:ascii="宋体" w:hAnsi="宋体"/>
          <w:sz w:val="21"/>
          <w:szCs w:val="21"/>
        </w:rPr>
      </w:pPr>
      <w:r w:rsidRPr="001F44E8">
        <w:rPr>
          <w:rFonts w:ascii="宋体" w:hAnsi="宋体" w:hint="eastAsia"/>
          <w:sz w:val="21"/>
          <w:szCs w:val="21"/>
        </w:rPr>
        <w:t>4</w:t>
      </w:r>
      <w:r w:rsidR="002876AA">
        <w:rPr>
          <w:rFonts w:ascii="宋体" w:hAnsi="宋体" w:hint="eastAsia"/>
          <w:sz w:val="21"/>
          <w:szCs w:val="21"/>
        </w:rPr>
        <w:t>.企业的固定资产周转率经常发生较大波动是否正常？若为异常，可能的原因有哪些？</w:t>
      </w:r>
    </w:p>
    <w:p w:rsidR="00CD1783" w:rsidRDefault="00346602" w:rsidP="004E44DE">
      <w:pPr>
        <w:spacing w:line="300" w:lineRule="auto"/>
        <w:ind w:firstLineChars="200" w:firstLine="420"/>
        <w:rPr>
          <w:rFonts w:ascii="宋体" w:hAnsi="宋体"/>
        </w:rPr>
      </w:pPr>
      <w:r>
        <w:rPr>
          <w:rFonts w:ascii="宋体" w:hAnsi="宋体" w:hint="eastAsia"/>
        </w:rPr>
        <w:t>不正常。</w:t>
      </w:r>
      <w:r w:rsidR="001A1B56">
        <w:rPr>
          <w:rFonts w:ascii="宋体" w:hAnsi="宋体" w:hint="eastAsia"/>
        </w:rPr>
        <w:t>企业的固定资产周转率</w:t>
      </w:r>
      <w:r w:rsidR="001A1B56">
        <w:rPr>
          <w:rFonts w:ascii="宋体" w:hAnsi="宋体"/>
        </w:rPr>
        <w:t>应维持在一个较为稳定的状态，</w:t>
      </w:r>
      <w:r w:rsidR="001A1B56">
        <w:rPr>
          <w:rFonts w:ascii="宋体" w:hAnsi="宋体" w:hint="eastAsia"/>
        </w:rPr>
        <w:t>波动</w:t>
      </w:r>
      <w:r w:rsidR="001A1B56">
        <w:rPr>
          <w:rFonts w:ascii="宋体" w:hAnsi="宋体"/>
        </w:rPr>
        <w:t>较大说明企业</w:t>
      </w:r>
      <w:r w:rsidR="001A1B56">
        <w:rPr>
          <w:rFonts w:ascii="宋体" w:hAnsi="宋体" w:hint="eastAsia"/>
        </w:rPr>
        <w:t>经常性发生固定资产</w:t>
      </w:r>
      <w:r w:rsidR="001A1B56">
        <w:rPr>
          <w:rFonts w:ascii="宋体" w:hAnsi="宋体"/>
        </w:rPr>
        <w:t>的购</w:t>
      </w:r>
      <w:r w:rsidR="001A1B56">
        <w:rPr>
          <w:rFonts w:ascii="宋体" w:hAnsi="宋体" w:hint="eastAsia"/>
        </w:rPr>
        <w:t>入</w:t>
      </w:r>
      <w:r w:rsidR="001A1B56">
        <w:rPr>
          <w:rFonts w:ascii="宋体" w:hAnsi="宋体"/>
        </w:rPr>
        <w:t>与出售</w:t>
      </w:r>
      <w:r>
        <w:rPr>
          <w:rFonts w:ascii="宋体" w:hAnsi="宋体" w:hint="eastAsia"/>
        </w:rPr>
        <w:t>，这对于</w:t>
      </w:r>
      <w:r>
        <w:rPr>
          <w:rFonts w:ascii="宋体" w:hAnsi="宋体"/>
        </w:rPr>
        <w:t>正常经营的企业不是一个良好的信号</w:t>
      </w:r>
      <w:r>
        <w:rPr>
          <w:rFonts w:ascii="宋体" w:hAnsi="宋体" w:hint="eastAsia"/>
        </w:rPr>
        <w:t>。</w:t>
      </w:r>
    </w:p>
    <w:p w:rsidR="00A543E3" w:rsidRPr="009B128E" w:rsidRDefault="00346602" w:rsidP="004E44DE">
      <w:pPr>
        <w:spacing w:line="300" w:lineRule="auto"/>
        <w:ind w:firstLineChars="200" w:firstLine="420"/>
        <w:rPr>
          <w:rFonts w:ascii="宋体" w:hAnsi="宋体"/>
        </w:rPr>
      </w:pPr>
      <w:r>
        <w:rPr>
          <w:rFonts w:ascii="宋体" w:hAnsi="宋体"/>
        </w:rPr>
        <w:t>固定</w:t>
      </w:r>
      <w:r>
        <w:rPr>
          <w:rFonts w:ascii="宋体" w:hAnsi="宋体" w:hint="eastAsia"/>
        </w:rPr>
        <w:t>资产</w:t>
      </w:r>
      <w:r>
        <w:rPr>
          <w:rFonts w:ascii="宋体" w:hAnsi="宋体"/>
        </w:rPr>
        <w:t>周转率</w:t>
      </w:r>
      <w:r>
        <w:rPr>
          <w:rFonts w:ascii="宋体" w:hAnsi="宋体" w:hint="eastAsia"/>
        </w:rPr>
        <w:t>波动较大的原因</w:t>
      </w:r>
      <w:r w:rsidR="00CD1783">
        <w:rPr>
          <w:rFonts w:ascii="宋体" w:hAnsi="宋体" w:hint="eastAsia"/>
        </w:rPr>
        <w:t>：（</w:t>
      </w:r>
      <w:r w:rsidR="00CD1783">
        <w:rPr>
          <w:rFonts w:ascii="宋体" w:hAnsi="宋体"/>
        </w:rPr>
        <w:t>1</w:t>
      </w:r>
      <w:r w:rsidR="00CD1783">
        <w:rPr>
          <w:rFonts w:ascii="宋体" w:hAnsi="宋体" w:hint="eastAsia"/>
        </w:rPr>
        <w:t>）企业发生</w:t>
      </w:r>
      <w:r w:rsidR="00CD1783">
        <w:rPr>
          <w:rFonts w:ascii="宋体" w:hAnsi="宋体"/>
        </w:rPr>
        <w:t>的固定资产</w:t>
      </w:r>
      <w:r w:rsidR="00CD1783">
        <w:rPr>
          <w:rFonts w:ascii="宋体" w:hAnsi="宋体" w:hint="eastAsia"/>
        </w:rPr>
        <w:t>购入与</w:t>
      </w:r>
      <w:r w:rsidR="00CD1783">
        <w:rPr>
          <w:rFonts w:ascii="宋体" w:hAnsi="宋体"/>
        </w:rPr>
        <w:t>出售</w:t>
      </w:r>
      <w:r w:rsidR="00CD1783">
        <w:rPr>
          <w:rFonts w:ascii="宋体" w:hAnsi="宋体" w:hint="eastAsia"/>
        </w:rPr>
        <w:t>等业务</w:t>
      </w:r>
      <w:r w:rsidR="00CD1783">
        <w:rPr>
          <w:rFonts w:ascii="宋体" w:hAnsi="宋体"/>
        </w:rPr>
        <w:t>比较</w:t>
      </w:r>
      <w:r w:rsidR="00CD1783">
        <w:rPr>
          <w:rFonts w:ascii="宋体" w:hAnsi="宋体" w:hint="eastAsia"/>
        </w:rPr>
        <w:t>频繁；</w:t>
      </w:r>
      <w:r w:rsidR="00CD1783">
        <w:rPr>
          <w:rFonts w:ascii="宋体" w:hAnsi="宋体"/>
        </w:rPr>
        <w:t>（</w:t>
      </w:r>
      <w:r w:rsidR="00CD1783">
        <w:rPr>
          <w:rFonts w:ascii="宋体" w:hAnsi="宋体" w:hint="eastAsia"/>
        </w:rPr>
        <w:t>2）企业</w:t>
      </w:r>
      <w:r w:rsidR="00915EEF">
        <w:rPr>
          <w:rFonts w:ascii="宋体" w:hAnsi="宋体" w:hint="eastAsia"/>
        </w:rPr>
        <w:t>经常性</w:t>
      </w:r>
      <w:r w:rsidR="00915EEF">
        <w:rPr>
          <w:rFonts w:ascii="宋体" w:hAnsi="宋体"/>
        </w:rPr>
        <w:t>的</w:t>
      </w:r>
      <w:r w:rsidR="00915EEF">
        <w:rPr>
          <w:rFonts w:ascii="宋体" w:hAnsi="宋体" w:hint="eastAsia"/>
        </w:rPr>
        <w:t>变更</w:t>
      </w:r>
      <w:r w:rsidR="00915EEF">
        <w:rPr>
          <w:rFonts w:ascii="宋体" w:hAnsi="宋体"/>
        </w:rPr>
        <w:t>折旧</w:t>
      </w:r>
      <w:r w:rsidR="00915EEF">
        <w:rPr>
          <w:rFonts w:ascii="宋体" w:hAnsi="宋体" w:hint="eastAsia"/>
        </w:rPr>
        <w:t>计提</w:t>
      </w:r>
      <w:r w:rsidR="00915EEF">
        <w:rPr>
          <w:rFonts w:ascii="宋体" w:hAnsi="宋体"/>
        </w:rPr>
        <w:t>方法</w:t>
      </w:r>
      <w:r w:rsidR="00915EEF">
        <w:rPr>
          <w:rFonts w:ascii="宋体" w:hAnsi="宋体" w:hint="eastAsia"/>
        </w:rPr>
        <w:t>。</w:t>
      </w:r>
    </w:p>
    <w:p w:rsidR="00A543E3" w:rsidRPr="001F44E8" w:rsidRDefault="00A543E3" w:rsidP="004E44DE">
      <w:pPr>
        <w:pStyle w:val="3"/>
        <w:spacing w:before="0" w:after="0" w:line="300" w:lineRule="auto"/>
        <w:ind w:firstLineChars="200" w:firstLine="422"/>
        <w:rPr>
          <w:rFonts w:ascii="宋体" w:hAnsi="宋体"/>
          <w:sz w:val="21"/>
          <w:szCs w:val="21"/>
        </w:rPr>
      </w:pPr>
      <w:r w:rsidRPr="001F44E8">
        <w:rPr>
          <w:rFonts w:ascii="宋体" w:hAnsi="宋体" w:hint="eastAsia"/>
          <w:sz w:val="21"/>
          <w:szCs w:val="21"/>
        </w:rPr>
        <w:t>5．</w:t>
      </w:r>
      <w:r w:rsidR="00915EEF" w:rsidRPr="00915EEF">
        <w:rPr>
          <w:rFonts w:hint="eastAsia"/>
          <w:sz w:val="21"/>
          <w:szCs w:val="21"/>
        </w:rPr>
        <w:t>选取一家公司，试对其流动资产营运能力、固定资产营运能力和总资产营运能力运用本章的各指标进行分析，并分析流动资产周转率、固定资产周转率、总资产周转率之间的联系。</w:t>
      </w:r>
    </w:p>
    <w:p w:rsidR="00E64000" w:rsidRDefault="00A543E3" w:rsidP="004E44DE">
      <w:pPr>
        <w:pStyle w:val="Default"/>
        <w:spacing w:line="300" w:lineRule="auto"/>
        <w:jc w:val="both"/>
        <w:rPr>
          <w:rFonts w:ascii="宋体" w:eastAsia="宋体" w:hAnsiTheme="minorHAnsi" w:cs="宋体"/>
          <w:sz w:val="21"/>
          <w:szCs w:val="21"/>
        </w:rPr>
      </w:pPr>
      <w:r>
        <w:rPr>
          <w:rFonts w:hint="eastAsia"/>
          <w:b/>
        </w:rPr>
        <w:t xml:space="preserve"> </w:t>
      </w:r>
      <w:r w:rsidR="0019656D">
        <w:rPr>
          <w:b/>
        </w:rPr>
        <w:t xml:space="preserve">    </w:t>
      </w:r>
      <w:r w:rsidR="00E64000" w:rsidRPr="00E64000">
        <w:rPr>
          <w:rFonts w:ascii="宋体" w:eastAsia="宋体" w:hAnsiTheme="minorHAnsi" w:cs="宋体" w:hint="eastAsia"/>
          <w:sz w:val="21"/>
          <w:szCs w:val="21"/>
        </w:rPr>
        <w:t>深圳市长方半导体照明股份有限公司</w:t>
      </w:r>
      <w:r w:rsidR="00E64000" w:rsidRPr="00E64000">
        <w:rPr>
          <w:rFonts w:ascii="宋体" w:eastAsia="宋体" w:hAnsiTheme="minorHAnsi" w:cs="宋体"/>
          <w:sz w:val="21"/>
          <w:szCs w:val="21"/>
        </w:rPr>
        <w:t xml:space="preserve"> </w:t>
      </w:r>
      <w:r w:rsidR="00E64000" w:rsidRPr="00E64000">
        <w:rPr>
          <w:rFonts w:ascii="宋体" w:eastAsia="宋体" w:hAnsiTheme="minorHAnsi" w:cs="宋体" w:hint="eastAsia"/>
          <w:sz w:val="21"/>
          <w:szCs w:val="21"/>
        </w:rPr>
        <w:t>（</w:t>
      </w:r>
      <w:r w:rsidR="00E64000" w:rsidRPr="00E64000">
        <w:rPr>
          <w:sz w:val="21"/>
          <w:szCs w:val="21"/>
        </w:rPr>
        <w:t xml:space="preserve">300301 </w:t>
      </w:r>
      <w:r w:rsidR="00E64000" w:rsidRPr="00E64000">
        <w:rPr>
          <w:rFonts w:hint="eastAsia"/>
          <w:sz w:val="21"/>
          <w:szCs w:val="21"/>
        </w:rPr>
        <w:t>，</w:t>
      </w:r>
      <w:r w:rsidR="00E64000" w:rsidRPr="00E64000">
        <w:rPr>
          <w:sz w:val="21"/>
          <w:szCs w:val="21"/>
        </w:rPr>
        <w:t>简称</w:t>
      </w:r>
      <w:r w:rsidR="00E64000" w:rsidRPr="00E64000">
        <w:rPr>
          <w:rFonts w:ascii="宋体" w:eastAsia="宋体" w:hAnsiTheme="minorHAnsi" w:cs="宋体" w:hint="eastAsia"/>
          <w:sz w:val="21"/>
          <w:szCs w:val="21"/>
        </w:rPr>
        <w:t>长方照明</w:t>
      </w:r>
      <w:r w:rsidR="00E64000" w:rsidRPr="00E64000">
        <w:rPr>
          <w:rFonts w:ascii="宋体" w:eastAsia="宋体" w:hAnsiTheme="minorHAnsi" w:cs="宋体"/>
          <w:sz w:val="21"/>
          <w:szCs w:val="21"/>
        </w:rPr>
        <w:t>）</w:t>
      </w:r>
      <w:r w:rsidR="00473AB1">
        <w:rPr>
          <w:rFonts w:ascii="宋体" w:eastAsia="宋体" w:hAnsiTheme="minorHAnsi" w:cs="宋体" w:hint="eastAsia"/>
          <w:sz w:val="21"/>
          <w:szCs w:val="21"/>
        </w:rPr>
        <w:t>2013年</w:t>
      </w:r>
    </w:p>
    <w:p w:rsidR="00F903B5" w:rsidRPr="00F903B5" w:rsidRDefault="00473AB1" w:rsidP="004E44DE">
      <w:pPr>
        <w:pStyle w:val="Default"/>
        <w:spacing w:line="300" w:lineRule="auto"/>
        <w:jc w:val="both"/>
        <w:rPr>
          <w:rFonts w:ascii="宋体" w:eastAsia="宋体" w:hAnsi="宋体"/>
          <w:sz w:val="21"/>
          <w:szCs w:val="21"/>
        </w:rPr>
      </w:pPr>
      <w:r>
        <w:rPr>
          <w:rFonts w:ascii="宋体" w:eastAsia="宋体" w:hAnsiTheme="minorHAnsi" w:cs="宋体"/>
          <w:sz w:val="21"/>
          <w:szCs w:val="21"/>
        </w:rPr>
        <w:t>2014</w:t>
      </w:r>
      <w:r>
        <w:rPr>
          <w:rFonts w:ascii="宋体" w:eastAsia="宋体" w:hAnsiTheme="minorHAnsi" w:cs="宋体" w:hint="eastAsia"/>
          <w:sz w:val="21"/>
          <w:szCs w:val="21"/>
        </w:rPr>
        <w:t>年</w:t>
      </w:r>
      <w:r>
        <w:rPr>
          <w:rFonts w:ascii="宋体" w:eastAsia="宋体" w:hAnsiTheme="minorHAnsi" w:cs="宋体"/>
          <w:sz w:val="21"/>
          <w:szCs w:val="21"/>
        </w:rPr>
        <w:t>相关财务数据如表1</w:t>
      </w:r>
      <w:r>
        <w:rPr>
          <w:rFonts w:ascii="宋体" w:eastAsia="宋体" w:hAnsiTheme="minorHAnsi" w:cs="宋体" w:hint="eastAsia"/>
          <w:sz w:val="21"/>
          <w:szCs w:val="21"/>
        </w:rPr>
        <w:t>。</w:t>
      </w:r>
      <w:r w:rsidR="00F903B5">
        <w:rPr>
          <w:rFonts w:ascii="宋体" w:eastAsia="宋体" w:hAnsiTheme="minorHAnsi" w:cs="宋体" w:hint="eastAsia"/>
          <w:sz w:val="21"/>
          <w:szCs w:val="21"/>
        </w:rPr>
        <w:t>长方照明2014年</w:t>
      </w:r>
      <w:r w:rsidR="00F903B5">
        <w:rPr>
          <w:rFonts w:ascii="宋体" w:eastAsia="宋体" w:hAnsiTheme="minorHAnsi" w:cs="宋体"/>
          <w:sz w:val="21"/>
          <w:szCs w:val="21"/>
        </w:rPr>
        <w:t>营业收入分别为</w:t>
      </w:r>
      <w:r w:rsidR="00F903B5" w:rsidRPr="00F903B5">
        <w:rPr>
          <w:rFonts w:ascii="宋体" w:eastAsia="宋体" w:hAnsi="宋体"/>
          <w:sz w:val="21"/>
          <w:szCs w:val="21"/>
        </w:rPr>
        <w:t xml:space="preserve">921,191,572.11 </w:t>
      </w:r>
      <w:r w:rsidR="00F903B5" w:rsidRPr="00F903B5">
        <w:rPr>
          <w:rFonts w:ascii="宋体" w:eastAsia="宋体" w:hAnsi="宋体" w:hint="eastAsia"/>
          <w:sz w:val="21"/>
          <w:szCs w:val="21"/>
        </w:rPr>
        <w:t>元</w:t>
      </w:r>
      <w:r w:rsidR="00F903B5">
        <w:rPr>
          <w:rFonts w:ascii="宋体" w:eastAsia="宋体" w:hAnsi="宋体" w:hint="eastAsia"/>
          <w:sz w:val="21"/>
          <w:szCs w:val="21"/>
        </w:rPr>
        <w:t>。</w:t>
      </w:r>
    </w:p>
    <w:p w:rsidR="00473AB1" w:rsidRPr="00F903B5" w:rsidRDefault="00473AB1" w:rsidP="004E44DE">
      <w:pPr>
        <w:pStyle w:val="Default"/>
        <w:spacing w:line="300" w:lineRule="auto"/>
        <w:jc w:val="both"/>
        <w:rPr>
          <w:rFonts w:ascii="宋体" w:eastAsia="宋体" w:hAnsi="宋体" w:cs="宋体"/>
          <w:sz w:val="21"/>
          <w:szCs w:val="21"/>
        </w:rPr>
      </w:pPr>
    </w:p>
    <w:p w:rsidR="00E64000" w:rsidRDefault="00473AB1" w:rsidP="004E44DE">
      <w:pPr>
        <w:spacing w:line="300" w:lineRule="auto"/>
        <w:jc w:val="center"/>
        <w:rPr>
          <w:rFonts w:ascii="宋体" w:hAnsi="宋体"/>
        </w:rPr>
      </w:pPr>
      <w:r>
        <w:rPr>
          <w:rFonts w:ascii="宋体" w:hAnsi="宋体" w:hint="eastAsia"/>
        </w:rPr>
        <w:t>表1 长方照明</w:t>
      </w:r>
      <w:r>
        <w:rPr>
          <w:rFonts w:ascii="宋体" w:hAnsi="宋体"/>
        </w:rPr>
        <w:t>财务数据</w:t>
      </w:r>
    </w:p>
    <w:p w:rsidR="00473AB1" w:rsidRPr="00E64000" w:rsidRDefault="00473AB1" w:rsidP="004E44DE">
      <w:pPr>
        <w:spacing w:line="300" w:lineRule="auto"/>
        <w:jc w:val="right"/>
        <w:rPr>
          <w:rFonts w:ascii="宋体" w:hAnsi="宋体"/>
        </w:rPr>
      </w:pPr>
      <w:r>
        <w:rPr>
          <w:rFonts w:ascii="宋体" w:hAnsi="宋体" w:hint="eastAsia"/>
        </w:rPr>
        <w:t>单位</w:t>
      </w:r>
      <w:r>
        <w:rPr>
          <w:rFonts w:ascii="宋体" w:hAnsi="宋体"/>
        </w:rPr>
        <w:t>：元</w:t>
      </w:r>
    </w:p>
    <w:tbl>
      <w:tblPr>
        <w:tblW w:w="827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72"/>
        <w:gridCol w:w="2951"/>
        <w:gridCol w:w="2951"/>
      </w:tblGrid>
      <w:tr w:rsidR="00E64000" w:rsidRPr="00414713" w:rsidTr="00473AB1">
        <w:trPr>
          <w:trHeight w:val="282"/>
          <w:jc w:val="center"/>
        </w:trPr>
        <w:tc>
          <w:tcPr>
            <w:tcW w:w="2372" w:type="dxa"/>
            <w:shd w:val="clear" w:color="auto" w:fill="auto"/>
            <w:noWrap/>
            <w:vAlign w:val="center"/>
            <w:hideMark/>
          </w:tcPr>
          <w:p w:rsidR="00E64000" w:rsidRPr="006803A7" w:rsidRDefault="00E64000" w:rsidP="004E44DE">
            <w:pPr>
              <w:spacing w:line="300" w:lineRule="auto"/>
              <w:jc w:val="center"/>
              <w:rPr>
                <w:rFonts w:ascii="楷体" w:eastAsia="楷体" w:hAnsi="楷体"/>
                <w:b/>
                <w:szCs w:val="21"/>
              </w:rPr>
            </w:pPr>
            <w:r w:rsidRPr="006803A7">
              <w:rPr>
                <w:rFonts w:ascii="楷体" w:eastAsia="楷体" w:hAnsi="楷体" w:hint="eastAsia"/>
                <w:b/>
                <w:szCs w:val="21"/>
              </w:rPr>
              <w:t>项目</w:t>
            </w:r>
          </w:p>
        </w:tc>
        <w:tc>
          <w:tcPr>
            <w:tcW w:w="2951" w:type="dxa"/>
            <w:shd w:val="clear" w:color="auto" w:fill="auto"/>
            <w:noWrap/>
            <w:vAlign w:val="center"/>
            <w:hideMark/>
          </w:tcPr>
          <w:p w:rsidR="00E64000" w:rsidRPr="006803A7" w:rsidRDefault="00E64000" w:rsidP="004E44DE">
            <w:pPr>
              <w:spacing w:line="300" w:lineRule="auto"/>
              <w:jc w:val="center"/>
              <w:rPr>
                <w:rFonts w:ascii="楷体" w:eastAsia="楷体" w:hAnsi="楷体"/>
                <w:szCs w:val="21"/>
              </w:rPr>
            </w:pPr>
            <w:r w:rsidRPr="006803A7">
              <w:rPr>
                <w:rFonts w:ascii="楷体" w:eastAsia="楷体" w:hAnsi="楷体" w:hint="eastAsia"/>
                <w:szCs w:val="21"/>
              </w:rPr>
              <w:t>2014年</w:t>
            </w:r>
          </w:p>
        </w:tc>
        <w:tc>
          <w:tcPr>
            <w:tcW w:w="2951" w:type="dxa"/>
            <w:shd w:val="clear" w:color="auto" w:fill="auto"/>
            <w:noWrap/>
            <w:vAlign w:val="center"/>
            <w:hideMark/>
          </w:tcPr>
          <w:p w:rsidR="00E64000" w:rsidRPr="006803A7" w:rsidRDefault="00E64000" w:rsidP="004E44DE">
            <w:pPr>
              <w:spacing w:line="300" w:lineRule="auto"/>
              <w:jc w:val="center"/>
              <w:rPr>
                <w:rFonts w:ascii="楷体" w:eastAsia="楷体" w:hAnsi="楷体"/>
                <w:szCs w:val="21"/>
              </w:rPr>
            </w:pPr>
            <w:r w:rsidRPr="006803A7">
              <w:rPr>
                <w:rFonts w:ascii="楷体" w:eastAsia="楷体" w:hAnsi="楷体" w:hint="eastAsia"/>
                <w:szCs w:val="21"/>
              </w:rPr>
              <w:t>2013年</w:t>
            </w:r>
          </w:p>
        </w:tc>
      </w:tr>
      <w:tr w:rsidR="00E64000" w:rsidRPr="00414713" w:rsidTr="00473AB1">
        <w:trPr>
          <w:trHeight w:val="282"/>
          <w:jc w:val="center"/>
        </w:trPr>
        <w:tc>
          <w:tcPr>
            <w:tcW w:w="2372" w:type="dxa"/>
            <w:shd w:val="clear" w:color="auto" w:fill="auto"/>
            <w:noWrap/>
            <w:vAlign w:val="center"/>
            <w:hideMark/>
          </w:tcPr>
          <w:p w:rsidR="00E64000" w:rsidRPr="006803A7" w:rsidRDefault="00E64000" w:rsidP="004E44DE">
            <w:pPr>
              <w:spacing w:line="300" w:lineRule="auto"/>
              <w:jc w:val="center"/>
              <w:rPr>
                <w:rFonts w:ascii="楷体" w:eastAsia="楷体" w:hAnsi="楷体"/>
                <w:b/>
                <w:szCs w:val="21"/>
              </w:rPr>
            </w:pPr>
            <w:r w:rsidRPr="006803A7">
              <w:rPr>
                <w:rFonts w:ascii="楷体" w:eastAsia="楷体" w:hAnsi="楷体" w:hint="eastAsia"/>
                <w:b/>
                <w:szCs w:val="21"/>
              </w:rPr>
              <w:t>货币资金</w:t>
            </w:r>
          </w:p>
        </w:tc>
        <w:tc>
          <w:tcPr>
            <w:tcW w:w="2951" w:type="dxa"/>
            <w:shd w:val="clear" w:color="auto" w:fill="auto"/>
            <w:noWrap/>
            <w:vAlign w:val="center"/>
            <w:hideMark/>
          </w:tcPr>
          <w:p w:rsidR="00E64000" w:rsidRPr="006803A7" w:rsidRDefault="00E64000" w:rsidP="004E44DE">
            <w:pPr>
              <w:pStyle w:val="Default"/>
              <w:spacing w:line="300" w:lineRule="auto"/>
              <w:jc w:val="center"/>
              <w:rPr>
                <w:rFonts w:ascii="楷体" w:eastAsia="楷体" w:hAnsi="楷体"/>
                <w:sz w:val="21"/>
                <w:szCs w:val="21"/>
              </w:rPr>
            </w:pPr>
            <w:r w:rsidRPr="006803A7">
              <w:rPr>
                <w:rFonts w:ascii="楷体" w:eastAsia="楷体" w:hAnsi="楷体"/>
                <w:sz w:val="21"/>
                <w:szCs w:val="21"/>
              </w:rPr>
              <w:t>97,147,402.95</w:t>
            </w:r>
          </w:p>
          <w:p w:rsidR="00E64000" w:rsidRPr="006803A7" w:rsidRDefault="00E64000" w:rsidP="004E44DE">
            <w:pPr>
              <w:spacing w:line="300" w:lineRule="auto"/>
              <w:jc w:val="center"/>
              <w:rPr>
                <w:rFonts w:ascii="楷体" w:eastAsia="楷体" w:hAnsi="楷体"/>
                <w:szCs w:val="21"/>
              </w:rPr>
            </w:pPr>
          </w:p>
        </w:tc>
        <w:tc>
          <w:tcPr>
            <w:tcW w:w="2951" w:type="dxa"/>
            <w:shd w:val="clear" w:color="auto" w:fill="auto"/>
            <w:noWrap/>
            <w:vAlign w:val="center"/>
            <w:hideMark/>
          </w:tcPr>
          <w:p w:rsidR="00E64000" w:rsidRPr="006803A7" w:rsidRDefault="00E64000" w:rsidP="004E44DE">
            <w:pPr>
              <w:pStyle w:val="Default"/>
              <w:spacing w:line="300" w:lineRule="auto"/>
              <w:jc w:val="center"/>
              <w:rPr>
                <w:rFonts w:ascii="楷体" w:eastAsia="楷体" w:hAnsi="楷体"/>
                <w:sz w:val="21"/>
                <w:szCs w:val="21"/>
              </w:rPr>
            </w:pPr>
            <w:r w:rsidRPr="006803A7">
              <w:rPr>
                <w:rFonts w:ascii="楷体" w:eastAsia="楷体" w:hAnsi="楷体"/>
                <w:sz w:val="21"/>
                <w:szCs w:val="21"/>
              </w:rPr>
              <w:t>135,320,075.44</w:t>
            </w:r>
          </w:p>
          <w:p w:rsidR="00E64000" w:rsidRPr="006803A7" w:rsidRDefault="00E64000" w:rsidP="004E44DE">
            <w:pPr>
              <w:spacing w:line="300" w:lineRule="auto"/>
              <w:jc w:val="center"/>
              <w:rPr>
                <w:rFonts w:ascii="楷体" w:eastAsia="楷体" w:hAnsi="楷体"/>
                <w:szCs w:val="21"/>
              </w:rPr>
            </w:pPr>
          </w:p>
        </w:tc>
      </w:tr>
      <w:tr w:rsidR="00E64000" w:rsidRPr="00414713" w:rsidTr="00473AB1">
        <w:trPr>
          <w:trHeight w:val="282"/>
          <w:jc w:val="center"/>
        </w:trPr>
        <w:tc>
          <w:tcPr>
            <w:tcW w:w="2372" w:type="dxa"/>
            <w:shd w:val="clear" w:color="auto" w:fill="auto"/>
            <w:noWrap/>
            <w:vAlign w:val="center"/>
            <w:hideMark/>
          </w:tcPr>
          <w:p w:rsidR="00E64000" w:rsidRPr="006803A7" w:rsidRDefault="00E64000" w:rsidP="004E44DE">
            <w:pPr>
              <w:spacing w:line="300" w:lineRule="auto"/>
              <w:jc w:val="center"/>
              <w:rPr>
                <w:rFonts w:ascii="楷体" w:eastAsia="楷体" w:hAnsi="楷体"/>
                <w:b/>
                <w:szCs w:val="21"/>
              </w:rPr>
            </w:pPr>
            <w:r w:rsidRPr="006803A7">
              <w:rPr>
                <w:rFonts w:ascii="楷体" w:eastAsia="楷体" w:hAnsi="楷体" w:hint="eastAsia"/>
                <w:b/>
                <w:szCs w:val="21"/>
              </w:rPr>
              <w:t>应收账款</w:t>
            </w:r>
          </w:p>
        </w:tc>
        <w:tc>
          <w:tcPr>
            <w:tcW w:w="2951" w:type="dxa"/>
            <w:shd w:val="clear" w:color="auto" w:fill="auto"/>
            <w:noWrap/>
            <w:vAlign w:val="center"/>
            <w:hideMark/>
          </w:tcPr>
          <w:p w:rsidR="00E64000" w:rsidRPr="006803A7" w:rsidRDefault="00E64000" w:rsidP="004E44DE">
            <w:pPr>
              <w:pStyle w:val="Default"/>
              <w:spacing w:line="300" w:lineRule="auto"/>
              <w:jc w:val="center"/>
              <w:rPr>
                <w:rFonts w:ascii="楷体" w:eastAsia="楷体" w:hAnsi="楷体"/>
                <w:sz w:val="21"/>
                <w:szCs w:val="21"/>
              </w:rPr>
            </w:pPr>
            <w:r w:rsidRPr="006803A7">
              <w:rPr>
                <w:rFonts w:ascii="楷体" w:eastAsia="楷体" w:hAnsi="楷体"/>
                <w:sz w:val="21"/>
                <w:szCs w:val="21"/>
              </w:rPr>
              <w:t>138,878,081.51</w:t>
            </w:r>
          </w:p>
          <w:p w:rsidR="00E64000" w:rsidRPr="006803A7" w:rsidRDefault="00E64000" w:rsidP="004E44DE">
            <w:pPr>
              <w:spacing w:line="300" w:lineRule="auto"/>
              <w:jc w:val="center"/>
              <w:rPr>
                <w:rFonts w:ascii="楷体" w:eastAsia="楷体" w:hAnsi="楷体"/>
                <w:szCs w:val="21"/>
              </w:rPr>
            </w:pPr>
          </w:p>
        </w:tc>
        <w:tc>
          <w:tcPr>
            <w:tcW w:w="2951" w:type="dxa"/>
            <w:shd w:val="clear" w:color="auto" w:fill="auto"/>
            <w:noWrap/>
            <w:vAlign w:val="center"/>
            <w:hideMark/>
          </w:tcPr>
          <w:p w:rsidR="00E64000" w:rsidRPr="006803A7" w:rsidRDefault="00E64000" w:rsidP="004E44DE">
            <w:pPr>
              <w:pStyle w:val="Default"/>
              <w:spacing w:line="300" w:lineRule="auto"/>
              <w:jc w:val="center"/>
              <w:rPr>
                <w:rFonts w:ascii="楷体" w:eastAsia="楷体" w:hAnsi="楷体"/>
                <w:sz w:val="21"/>
                <w:szCs w:val="21"/>
              </w:rPr>
            </w:pPr>
            <w:r w:rsidRPr="006803A7">
              <w:rPr>
                <w:rFonts w:ascii="楷体" w:eastAsia="楷体" w:hAnsi="楷体"/>
                <w:sz w:val="21"/>
                <w:szCs w:val="21"/>
              </w:rPr>
              <w:t>175,648,240.80</w:t>
            </w:r>
          </w:p>
          <w:p w:rsidR="00E64000" w:rsidRPr="006803A7" w:rsidRDefault="00E64000" w:rsidP="004E44DE">
            <w:pPr>
              <w:spacing w:line="300" w:lineRule="auto"/>
              <w:jc w:val="center"/>
              <w:rPr>
                <w:rFonts w:ascii="楷体" w:eastAsia="楷体" w:hAnsi="楷体"/>
                <w:szCs w:val="21"/>
              </w:rPr>
            </w:pPr>
          </w:p>
        </w:tc>
      </w:tr>
      <w:tr w:rsidR="00E64000" w:rsidRPr="00414713" w:rsidTr="00473AB1">
        <w:trPr>
          <w:trHeight w:val="282"/>
          <w:jc w:val="center"/>
        </w:trPr>
        <w:tc>
          <w:tcPr>
            <w:tcW w:w="2372" w:type="dxa"/>
            <w:shd w:val="clear" w:color="auto" w:fill="auto"/>
            <w:noWrap/>
            <w:vAlign w:val="center"/>
            <w:hideMark/>
          </w:tcPr>
          <w:p w:rsidR="00E64000" w:rsidRPr="006803A7" w:rsidRDefault="00E64000" w:rsidP="004E44DE">
            <w:pPr>
              <w:spacing w:line="300" w:lineRule="auto"/>
              <w:jc w:val="center"/>
              <w:rPr>
                <w:rFonts w:ascii="楷体" w:eastAsia="楷体" w:hAnsi="楷体"/>
                <w:b/>
                <w:szCs w:val="21"/>
              </w:rPr>
            </w:pPr>
            <w:r w:rsidRPr="006803A7">
              <w:rPr>
                <w:rFonts w:ascii="楷体" w:eastAsia="楷体" w:hAnsi="楷体" w:hint="eastAsia"/>
                <w:b/>
                <w:szCs w:val="21"/>
              </w:rPr>
              <w:t>存货</w:t>
            </w:r>
          </w:p>
        </w:tc>
        <w:tc>
          <w:tcPr>
            <w:tcW w:w="2951" w:type="dxa"/>
            <w:shd w:val="clear" w:color="auto" w:fill="auto"/>
            <w:noWrap/>
            <w:vAlign w:val="center"/>
            <w:hideMark/>
          </w:tcPr>
          <w:p w:rsidR="00E64000" w:rsidRPr="006803A7" w:rsidRDefault="00E64000" w:rsidP="004E44DE">
            <w:pPr>
              <w:pStyle w:val="Default"/>
              <w:spacing w:line="300" w:lineRule="auto"/>
              <w:jc w:val="center"/>
              <w:rPr>
                <w:rFonts w:ascii="楷体" w:eastAsia="楷体" w:hAnsi="楷体"/>
                <w:sz w:val="21"/>
                <w:szCs w:val="21"/>
              </w:rPr>
            </w:pPr>
            <w:r w:rsidRPr="006803A7">
              <w:rPr>
                <w:rFonts w:ascii="楷体" w:eastAsia="楷体" w:hAnsi="楷体"/>
                <w:sz w:val="21"/>
                <w:szCs w:val="21"/>
              </w:rPr>
              <w:t>275,669,475.62</w:t>
            </w:r>
          </w:p>
          <w:p w:rsidR="00E64000" w:rsidRPr="006803A7" w:rsidRDefault="00E64000" w:rsidP="004E44DE">
            <w:pPr>
              <w:spacing w:line="300" w:lineRule="auto"/>
              <w:jc w:val="center"/>
              <w:rPr>
                <w:rFonts w:ascii="楷体" w:eastAsia="楷体" w:hAnsi="楷体"/>
                <w:szCs w:val="21"/>
              </w:rPr>
            </w:pPr>
          </w:p>
        </w:tc>
        <w:tc>
          <w:tcPr>
            <w:tcW w:w="2951" w:type="dxa"/>
            <w:shd w:val="clear" w:color="auto" w:fill="auto"/>
            <w:noWrap/>
            <w:vAlign w:val="center"/>
            <w:hideMark/>
          </w:tcPr>
          <w:p w:rsidR="00E64000" w:rsidRPr="006803A7" w:rsidRDefault="00E64000" w:rsidP="004E44DE">
            <w:pPr>
              <w:pStyle w:val="Default"/>
              <w:spacing w:line="300" w:lineRule="auto"/>
              <w:jc w:val="center"/>
              <w:rPr>
                <w:rFonts w:ascii="楷体" w:eastAsia="楷体" w:hAnsi="楷体"/>
                <w:sz w:val="21"/>
                <w:szCs w:val="21"/>
              </w:rPr>
            </w:pPr>
            <w:r w:rsidRPr="006803A7">
              <w:rPr>
                <w:rFonts w:ascii="楷体" w:eastAsia="楷体" w:hAnsi="楷体"/>
                <w:sz w:val="21"/>
                <w:szCs w:val="21"/>
              </w:rPr>
              <w:t>211,788,267.34</w:t>
            </w:r>
          </w:p>
          <w:p w:rsidR="00E64000" w:rsidRPr="006803A7" w:rsidRDefault="00E64000" w:rsidP="004E44DE">
            <w:pPr>
              <w:spacing w:line="300" w:lineRule="auto"/>
              <w:jc w:val="center"/>
              <w:rPr>
                <w:rFonts w:ascii="楷体" w:eastAsia="楷体" w:hAnsi="楷体"/>
                <w:szCs w:val="21"/>
              </w:rPr>
            </w:pPr>
          </w:p>
        </w:tc>
      </w:tr>
      <w:tr w:rsidR="00E64000" w:rsidRPr="00414713" w:rsidTr="00473AB1">
        <w:trPr>
          <w:trHeight w:val="282"/>
          <w:jc w:val="center"/>
        </w:trPr>
        <w:tc>
          <w:tcPr>
            <w:tcW w:w="2372" w:type="dxa"/>
            <w:shd w:val="clear" w:color="auto" w:fill="auto"/>
            <w:noWrap/>
            <w:vAlign w:val="center"/>
            <w:hideMark/>
          </w:tcPr>
          <w:p w:rsidR="00E64000" w:rsidRPr="006803A7" w:rsidRDefault="00E64000" w:rsidP="004E44DE">
            <w:pPr>
              <w:spacing w:line="300" w:lineRule="auto"/>
              <w:jc w:val="center"/>
              <w:rPr>
                <w:rFonts w:ascii="楷体" w:eastAsia="楷体" w:hAnsi="楷体"/>
                <w:b/>
                <w:szCs w:val="21"/>
              </w:rPr>
            </w:pPr>
            <w:r w:rsidRPr="006803A7">
              <w:rPr>
                <w:rFonts w:ascii="楷体" w:eastAsia="楷体" w:hAnsi="楷体" w:hint="eastAsia"/>
                <w:b/>
                <w:szCs w:val="21"/>
              </w:rPr>
              <w:t>流动资产合计</w:t>
            </w:r>
          </w:p>
        </w:tc>
        <w:tc>
          <w:tcPr>
            <w:tcW w:w="2951" w:type="dxa"/>
            <w:shd w:val="clear" w:color="auto" w:fill="auto"/>
            <w:noWrap/>
            <w:vAlign w:val="center"/>
            <w:hideMark/>
          </w:tcPr>
          <w:p w:rsidR="00E64000" w:rsidRPr="006803A7" w:rsidRDefault="00E64000" w:rsidP="004E44DE">
            <w:pPr>
              <w:pStyle w:val="Default"/>
              <w:spacing w:line="300" w:lineRule="auto"/>
              <w:jc w:val="center"/>
              <w:rPr>
                <w:rFonts w:ascii="楷体" w:eastAsia="楷体" w:hAnsi="楷体"/>
                <w:sz w:val="21"/>
                <w:szCs w:val="21"/>
              </w:rPr>
            </w:pPr>
            <w:r w:rsidRPr="006803A7">
              <w:rPr>
                <w:rFonts w:ascii="楷体" w:eastAsia="楷体" w:hAnsi="楷体"/>
                <w:sz w:val="21"/>
                <w:szCs w:val="21"/>
              </w:rPr>
              <w:t>554,479,197.50</w:t>
            </w:r>
          </w:p>
          <w:p w:rsidR="00E64000" w:rsidRPr="006803A7" w:rsidRDefault="00E64000" w:rsidP="004E44DE">
            <w:pPr>
              <w:spacing w:line="300" w:lineRule="auto"/>
              <w:jc w:val="center"/>
              <w:rPr>
                <w:rFonts w:ascii="楷体" w:eastAsia="楷体" w:hAnsi="楷体"/>
                <w:szCs w:val="21"/>
              </w:rPr>
            </w:pPr>
          </w:p>
        </w:tc>
        <w:tc>
          <w:tcPr>
            <w:tcW w:w="2951" w:type="dxa"/>
            <w:shd w:val="clear" w:color="auto" w:fill="auto"/>
            <w:noWrap/>
            <w:vAlign w:val="center"/>
            <w:hideMark/>
          </w:tcPr>
          <w:p w:rsidR="00E64000" w:rsidRPr="006803A7" w:rsidRDefault="00E64000" w:rsidP="004E44DE">
            <w:pPr>
              <w:pStyle w:val="Default"/>
              <w:spacing w:line="300" w:lineRule="auto"/>
              <w:jc w:val="center"/>
              <w:rPr>
                <w:rFonts w:ascii="楷体" w:eastAsia="楷体" w:hAnsi="楷体"/>
                <w:sz w:val="21"/>
                <w:szCs w:val="21"/>
              </w:rPr>
            </w:pPr>
            <w:r w:rsidRPr="006803A7">
              <w:rPr>
                <w:rFonts w:ascii="楷体" w:eastAsia="楷体" w:hAnsi="楷体"/>
                <w:sz w:val="21"/>
                <w:szCs w:val="21"/>
              </w:rPr>
              <w:t>569,718,030.10</w:t>
            </w:r>
          </w:p>
          <w:p w:rsidR="00E64000" w:rsidRPr="006803A7" w:rsidRDefault="00E64000" w:rsidP="004E44DE">
            <w:pPr>
              <w:spacing w:line="300" w:lineRule="auto"/>
              <w:jc w:val="center"/>
              <w:rPr>
                <w:rFonts w:ascii="楷体" w:eastAsia="楷体" w:hAnsi="楷体"/>
                <w:szCs w:val="21"/>
              </w:rPr>
            </w:pPr>
          </w:p>
        </w:tc>
      </w:tr>
      <w:tr w:rsidR="00E64000" w:rsidRPr="00414713" w:rsidTr="00473AB1">
        <w:trPr>
          <w:trHeight w:val="282"/>
          <w:jc w:val="center"/>
        </w:trPr>
        <w:tc>
          <w:tcPr>
            <w:tcW w:w="2372" w:type="dxa"/>
            <w:shd w:val="clear" w:color="auto" w:fill="auto"/>
            <w:noWrap/>
            <w:vAlign w:val="center"/>
          </w:tcPr>
          <w:p w:rsidR="00E64000" w:rsidRPr="006803A7" w:rsidRDefault="00E64000" w:rsidP="004E44DE">
            <w:pPr>
              <w:spacing w:line="300" w:lineRule="auto"/>
              <w:jc w:val="center"/>
              <w:rPr>
                <w:rFonts w:ascii="楷体" w:eastAsia="楷体" w:hAnsi="楷体"/>
                <w:b/>
                <w:szCs w:val="21"/>
              </w:rPr>
            </w:pPr>
            <w:r w:rsidRPr="006803A7">
              <w:rPr>
                <w:rFonts w:ascii="楷体" w:eastAsia="楷体" w:hAnsi="楷体" w:hint="eastAsia"/>
                <w:b/>
                <w:szCs w:val="21"/>
              </w:rPr>
              <w:t>固定资产</w:t>
            </w:r>
          </w:p>
        </w:tc>
        <w:tc>
          <w:tcPr>
            <w:tcW w:w="2951" w:type="dxa"/>
            <w:shd w:val="clear" w:color="auto" w:fill="auto"/>
            <w:noWrap/>
            <w:vAlign w:val="center"/>
          </w:tcPr>
          <w:p w:rsidR="00E64000" w:rsidRPr="006803A7" w:rsidRDefault="00E64000" w:rsidP="004E44DE">
            <w:pPr>
              <w:pStyle w:val="Default"/>
              <w:spacing w:line="300" w:lineRule="auto"/>
              <w:jc w:val="center"/>
              <w:rPr>
                <w:rFonts w:ascii="楷体" w:eastAsia="楷体" w:hAnsi="楷体"/>
                <w:sz w:val="21"/>
                <w:szCs w:val="21"/>
              </w:rPr>
            </w:pPr>
            <w:r w:rsidRPr="006803A7">
              <w:rPr>
                <w:rFonts w:ascii="楷体" w:eastAsia="楷体" w:hAnsi="楷体"/>
                <w:sz w:val="21"/>
                <w:szCs w:val="21"/>
              </w:rPr>
              <w:t>854,506,802.18</w:t>
            </w:r>
          </w:p>
          <w:p w:rsidR="00E64000" w:rsidRPr="006803A7" w:rsidRDefault="00E64000" w:rsidP="004E44DE">
            <w:pPr>
              <w:spacing w:line="300" w:lineRule="auto"/>
              <w:jc w:val="center"/>
              <w:rPr>
                <w:rFonts w:ascii="楷体" w:eastAsia="楷体" w:hAnsi="楷体"/>
                <w:szCs w:val="21"/>
              </w:rPr>
            </w:pPr>
          </w:p>
        </w:tc>
        <w:tc>
          <w:tcPr>
            <w:tcW w:w="2951" w:type="dxa"/>
            <w:shd w:val="clear" w:color="auto" w:fill="auto"/>
            <w:noWrap/>
            <w:vAlign w:val="center"/>
          </w:tcPr>
          <w:p w:rsidR="00E64000" w:rsidRPr="006803A7" w:rsidRDefault="00E64000" w:rsidP="004E44DE">
            <w:pPr>
              <w:pStyle w:val="Default"/>
              <w:spacing w:line="300" w:lineRule="auto"/>
              <w:jc w:val="center"/>
              <w:rPr>
                <w:rFonts w:ascii="楷体" w:eastAsia="楷体" w:hAnsi="楷体"/>
                <w:sz w:val="21"/>
                <w:szCs w:val="21"/>
              </w:rPr>
            </w:pPr>
            <w:r w:rsidRPr="006803A7">
              <w:rPr>
                <w:rFonts w:ascii="楷体" w:eastAsia="楷体" w:hAnsi="楷体"/>
                <w:sz w:val="21"/>
                <w:szCs w:val="21"/>
              </w:rPr>
              <w:t>532,993,700.84</w:t>
            </w:r>
          </w:p>
          <w:p w:rsidR="00E64000" w:rsidRPr="006803A7" w:rsidRDefault="00E64000" w:rsidP="004E44DE">
            <w:pPr>
              <w:spacing w:line="300" w:lineRule="auto"/>
              <w:jc w:val="center"/>
              <w:rPr>
                <w:rFonts w:ascii="楷体" w:eastAsia="楷体" w:hAnsi="楷体"/>
                <w:szCs w:val="21"/>
              </w:rPr>
            </w:pPr>
          </w:p>
        </w:tc>
      </w:tr>
      <w:tr w:rsidR="00E64000" w:rsidRPr="00414713" w:rsidTr="00473AB1">
        <w:trPr>
          <w:trHeight w:val="282"/>
          <w:jc w:val="center"/>
        </w:trPr>
        <w:tc>
          <w:tcPr>
            <w:tcW w:w="2372" w:type="dxa"/>
            <w:shd w:val="clear" w:color="auto" w:fill="auto"/>
            <w:noWrap/>
            <w:vAlign w:val="center"/>
            <w:hideMark/>
          </w:tcPr>
          <w:p w:rsidR="00E64000" w:rsidRPr="006803A7" w:rsidRDefault="00E64000" w:rsidP="004E44DE">
            <w:pPr>
              <w:spacing w:line="300" w:lineRule="auto"/>
              <w:jc w:val="center"/>
              <w:rPr>
                <w:rFonts w:ascii="楷体" w:eastAsia="楷体" w:hAnsi="楷体"/>
                <w:b/>
                <w:szCs w:val="21"/>
              </w:rPr>
            </w:pPr>
            <w:r w:rsidRPr="006803A7">
              <w:rPr>
                <w:rFonts w:ascii="楷体" w:eastAsia="楷体" w:hAnsi="楷体" w:hint="eastAsia"/>
                <w:b/>
                <w:szCs w:val="21"/>
              </w:rPr>
              <w:t>资产总额</w:t>
            </w:r>
          </w:p>
        </w:tc>
        <w:tc>
          <w:tcPr>
            <w:tcW w:w="2951" w:type="dxa"/>
            <w:shd w:val="clear" w:color="auto" w:fill="auto"/>
            <w:noWrap/>
            <w:vAlign w:val="center"/>
            <w:hideMark/>
          </w:tcPr>
          <w:p w:rsidR="00E64000" w:rsidRPr="006803A7" w:rsidRDefault="00E64000" w:rsidP="004E44DE">
            <w:pPr>
              <w:pStyle w:val="Default"/>
              <w:spacing w:line="300" w:lineRule="auto"/>
              <w:jc w:val="center"/>
              <w:rPr>
                <w:rFonts w:ascii="楷体" w:eastAsia="楷体" w:hAnsi="楷体"/>
                <w:sz w:val="21"/>
                <w:szCs w:val="21"/>
              </w:rPr>
            </w:pPr>
            <w:r w:rsidRPr="006803A7">
              <w:rPr>
                <w:rFonts w:ascii="楷体" w:eastAsia="楷体" w:hAnsi="楷体"/>
                <w:sz w:val="21"/>
                <w:szCs w:val="21"/>
              </w:rPr>
              <w:t>1,740,324,073.51</w:t>
            </w:r>
          </w:p>
          <w:p w:rsidR="00E64000" w:rsidRPr="006803A7" w:rsidRDefault="00E64000" w:rsidP="004E44DE">
            <w:pPr>
              <w:spacing w:line="300" w:lineRule="auto"/>
              <w:jc w:val="center"/>
              <w:rPr>
                <w:rFonts w:ascii="楷体" w:eastAsia="楷体" w:hAnsi="楷体"/>
                <w:szCs w:val="21"/>
              </w:rPr>
            </w:pPr>
          </w:p>
        </w:tc>
        <w:tc>
          <w:tcPr>
            <w:tcW w:w="2951" w:type="dxa"/>
            <w:shd w:val="clear" w:color="auto" w:fill="auto"/>
            <w:noWrap/>
            <w:vAlign w:val="center"/>
            <w:hideMark/>
          </w:tcPr>
          <w:p w:rsidR="00E64000" w:rsidRPr="006803A7" w:rsidRDefault="00E64000" w:rsidP="004E44DE">
            <w:pPr>
              <w:pStyle w:val="Default"/>
              <w:spacing w:line="300" w:lineRule="auto"/>
              <w:jc w:val="center"/>
              <w:rPr>
                <w:rFonts w:ascii="楷体" w:eastAsia="楷体" w:hAnsi="楷体"/>
                <w:sz w:val="21"/>
                <w:szCs w:val="21"/>
              </w:rPr>
            </w:pPr>
            <w:r w:rsidRPr="006803A7">
              <w:rPr>
                <w:rFonts w:ascii="楷体" w:eastAsia="楷体" w:hAnsi="楷体"/>
                <w:sz w:val="21"/>
                <w:szCs w:val="21"/>
              </w:rPr>
              <w:t>1,310,464,617.79</w:t>
            </w:r>
          </w:p>
          <w:p w:rsidR="00E64000" w:rsidRPr="006803A7" w:rsidRDefault="00E64000" w:rsidP="004E44DE">
            <w:pPr>
              <w:spacing w:line="300" w:lineRule="auto"/>
              <w:jc w:val="center"/>
              <w:rPr>
                <w:rFonts w:ascii="楷体" w:eastAsia="楷体" w:hAnsi="楷体"/>
                <w:szCs w:val="21"/>
              </w:rPr>
            </w:pPr>
          </w:p>
        </w:tc>
      </w:tr>
    </w:tbl>
    <w:p w:rsidR="00A543E3" w:rsidRPr="0019656D" w:rsidRDefault="00A543E3" w:rsidP="004E44DE">
      <w:pPr>
        <w:spacing w:line="300" w:lineRule="auto"/>
        <w:rPr>
          <w:rFonts w:ascii="宋体" w:hAnsi="宋体"/>
        </w:rPr>
      </w:pPr>
    </w:p>
    <w:p w:rsidR="00842D0D" w:rsidRDefault="00A8097F" w:rsidP="004E44DE">
      <w:pPr>
        <w:spacing w:line="300" w:lineRule="auto"/>
      </w:pPr>
      <w:r>
        <w:rPr>
          <w:rFonts w:hint="eastAsia"/>
        </w:rPr>
        <w:t>长方照明</w:t>
      </w:r>
      <w:r>
        <w:rPr>
          <w:rFonts w:hint="eastAsia"/>
        </w:rPr>
        <w:t>2014</w:t>
      </w:r>
      <w:r>
        <w:rPr>
          <w:rFonts w:hint="eastAsia"/>
        </w:rPr>
        <w:t>年</w:t>
      </w:r>
      <w:r>
        <w:t>各</w:t>
      </w:r>
      <w:r>
        <w:rPr>
          <w:rFonts w:hint="eastAsia"/>
        </w:rPr>
        <w:t>周转率指标</w:t>
      </w:r>
      <w:r>
        <w:t>如下：</w:t>
      </w:r>
    </w:p>
    <w:p w:rsidR="006803A7" w:rsidRPr="006803A7" w:rsidRDefault="006803A7" w:rsidP="004E44DE">
      <w:pPr>
        <w:spacing w:line="300" w:lineRule="auto"/>
      </w:pPr>
      <m:oMathPara>
        <m:oMath>
          <m:r>
            <m:rPr>
              <m:sty m:val="p"/>
            </m:rPr>
            <w:rPr>
              <w:rFonts w:ascii="Cambria Math" w:hAnsi="Cambria Math" w:hint="eastAsia"/>
            </w:rPr>
            <w:lastRenderedPageBreak/>
            <m:t>应收账款周转率</m:t>
          </m:r>
          <m:r>
            <m:rPr>
              <m:sty m:val="p"/>
            </m:rPr>
            <w:rPr>
              <w:rFonts w:ascii="Cambria Math" w:hAnsi="Cambria Math"/>
            </w:rPr>
            <m:t>=</m:t>
          </m:r>
          <m:f>
            <m:fPr>
              <m:ctrlPr>
                <w:rPr>
                  <w:rFonts w:ascii="Cambria Math" w:hAnsi="Cambria Math"/>
                </w:rPr>
              </m:ctrlPr>
            </m:fPr>
            <m:num>
              <m:r>
                <m:rPr>
                  <m:sty m:val="p"/>
                </m:rPr>
                <w:rPr>
                  <w:rFonts w:ascii="Cambria Math" w:hAnsi="Cambria Math"/>
                  <w:szCs w:val="21"/>
                </w:rPr>
                <m:t>921,191,572.11</m:t>
              </m:r>
            </m:num>
            <m:den>
              <m:r>
                <w:rPr>
                  <w:rFonts w:ascii="Cambria Math" w:hAnsi="Cambria Math"/>
                </w:rPr>
                <m:t>157263161.155</m:t>
              </m:r>
            </m:den>
          </m:f>
          <m:r>
            <w:rPr>
              <w:rFonts w:ascii="Cambria Math" w:hAnsi="Cambria Math"/>
            </w:rPr>
            <m:t>=5.86</m:t>
          </m:r>
          <m:r>
            <m:rPr>
              <m:sty m:val="p"/>
            </m:rPr>
            <w:rPr>
              <w:rFonts w:ascii="Cambria Math" w:hAnsi="Cambria Math" w:hint="eastAsia"/>
            </w:rPr>
            <m:t>（</m:t>
          </m:r>
          <m:r>
            <m:rPr>
              <m:sty m:val="p"/>
            </m:rPr>
            <w:rPr>
              <w:rFonts w:ascii="Cambria Math" w:hAnsi="Cambria Math"/>
            </w:rPr>
            <m:t>次）</m:t>
          </m:r>
        </m:oMath>
      </m:oMathPara>
    </w:p>
    <w:p w:rsidR="00A8097F" w:rsidRPr="002A7147" w:rsidRDefault="00A8097F" w:rsidP="004E44DE">
      <w:pPr>
        <w:spacing w:line="300" w:lineRule="auto"/>
      </w:pPr>
      <m:oMathPara>
        <m:oMath>
          <m:r>
            <m:rPr>
              <m:sty m:val="p"/>
            </m:rPr>
            <w:rPr>
              <w:rFonts w:ascii="Cambria Math" w:hAnsi="Cambria Math" w:hint="eastAsia"/>
            </w:rPr>
            <m:t>流动资产</m:t>
          </m:r>
          <m:r>
            <m:rPr>
              <m:sty m:val="p"/>
            </m:rPr>
            <w:rPr>
              <w:rFonts w:ascii="Cambria Math" w:hAnsi="Cambria Math"/>
            </w:rPr>
            <m:t>周转率</m:t>
          </m:r>
          <m:r>
            <m:rPr>
              <m:sty m:val="p"/>
            </m:rPr>
            <w:rPr>
              <w:rFonts w:ascii="Cambria Math" w:hAnsi="Cambria Math"/>
            </w:rPr>
            <m:t>=</m:t>
          </m:r>
          <m:f>
            <m:fPr>
              <m:ctrlPr>
                <w:rPr>
                  <w:rFonts w:ascii="Cambria Math" w:hAnsi="Cambria Math"/>
                </w:rPr>
              </m:ctrlPr>
            </m:fPr>
            <m:num>
              <m:r>
                <m:rPr>
                  <m:sty m:val="p"/>
                </m:rPr>
                <w:rPr>
                  <w:rFonts w:ascii="Cambria Math" w:hAnsi="Cambria Math"/>
                  <w:szCs w:val="21"/>
                </w:rPr>
                <m:t>921,191,572.11</m:t>
              </m:r>
            </m:num>
            <m:den>
              <m:r>
                <w:rPr>
                  <w:rFonts w:ascii="Cambria Math" w:hAnsi="Cambria Math"/>
                </w:rPr>
                <m:t>562098613.8</m:t>
              </m:r>
            </m:den>
          </m:f>
          <m:r>
            <w:rPr>
              <w:rFonts w:ascii="Cambria Math" w:hAnsi="Cambria Math"/>
            </w:rPr>
            <m:t>=1.64</m:t>
          </m:r>
          <m:r>
            <m:rPr>
              <m:sty m:val="p"/>
            </m:rPr>
            <w:rPr>
              <w:rFonts w:ascii="Cambria Math" w:hAnsi="Cambria Math" w:hint="eastAsia"/>
            </w:rPr>
            <m:t>（次</m:t>
          </m:r>
          <m:r>
            <m:rPr>
              <m:sty m:val="p"/>
            </m:rPr>
            <w:rPr>
              <w:rFonts w:ascii="Cambria Math" w:hAnsi="Cambria Math"/>
            </w:rPr>
            <m:t>）</m:t>
          </m:r>
        </m:oMath>
      </m:oMathPara>
    </w:p>
    <w:p w:rsidR="00862BF1" w:rsidRPr="002A7147" w:rsidRDefault="00862BF1" w:rsidP="004E44DE">
      <w:pPr>
        <w:spacing w:line="300" w:lineRule="auto"/>
      </w:pPr>
      <m:oMathPara>
        <m:oMath>
          <m:r>
            <m:rPr>
              <m:sty m:val="p"/>
            </m:rPr>
            <w:rPr>
              <w:rFonts w:ascii="Cambria Math" w:hAnsi="Cambria Math" w:hint="eastAsia"/>
            </w:rPr>
            <m:t>固定资产周转率</m:t>
          </m:r>
          <m:r>
            <m:rPr>
              <m:sty m:val="p"/>
            </m:rPr>
            <w:rPr>
              <w:rFonts w:ascii="Cambria Math" w:hAnsi="Cambria Math"/>
            </w:rPr>
            <m:t>=</m:t>
          </m:r>
          <m:f>
            <m:fPr>
              <m:ctrlPr>
                <w:rPr>
                  <w:rFonts w:ascii="Cambria Math" w:hAnsi="Cambria Math"/>
                </w:rPr>
              </m:ctrlPr>
            </m:fPr>
            <m:num>
              <m:r>
                <m:rPr>
                  <m:sty m:val="p"/>
                </m:rPr>
                <w:rPr>
                  <w:rFonts w:ascii="Cambria Math" w:hAnsi="Cambria Math"/>
                  <w:szCs w:val="21"/>
                </w:rPr>
                <m:t>921,191,572.11</m:t>
              </m:r>
            </m:num>
            <m:den>
              <m:r>
                <w:rPr>
                  <w:rFonts w:ascii="Cambria Math" w:hAnsi="Cambria Math"/>
                </w:rPr>
                <m:t>693750251.51</m:t>
              </m:r>
            </m:den>
          </m:f>
          <m:r>
            <w:rPr>
              <w:rFonts w:ascii="Cambria Math" w:hAnsi="Cambria Math"/>
            </w:rPr>
            <m:t>=1.33</m:t>
          </m:r>
          <m:r>
            <m:rPr>
              <m:sty m:val="p"/>
            </m:rPr>
            <w:rPr>
              <w:rFonts w:ascii="Cambria Math" w:hAnsi="Cambria Math" w:hint="eastAsia"/>
            </w:rPr>
            <m:t>（次</m:t>
          </m:r>
          <m:r>
            <m:rPr>
              <m:sty m:val="p"/>
            </m:rPr>
            <w:rPr>
              <w:rFonts w:ascii="Cambria Math" w:hAnsi="Cambria Math"/>
            </w:rPr>
            <m:t>）</m:t>
          </m:r>
        </m:oMath>
      </m:oMathPara>
    </w:p>
    <w:p w:rsidR="00862BF1" w:rsidRPr="000156EA" w:rsidRDefault="00862BF1" w:rsidP="004E44DE">
      <w:pPr>
        <w:spacing w:line="300" w:lineRule="auto"/>
      </w:pPr>
      <m:oMathPara>
        <m:oMath>
          <m:r>
            <m:rPr>
              <m:sty m:val="p"/>
            </m:rPr>
            <w:rPr>
              <w:rFonts w:ascii="Cambria Math" w:hAnsi="Cambria Math" w:hint="eastAsia"/>
            </w:rPr>
            <m:t>总资产周转率</m:t>
          </m:r>
          <m:r>
            <m:rPr>
              <m:sty m:val="p"/>
            </m:rPr>
            <w:rPr>
              <w:rFonts w:ascii="Cambria Math" w:hAnsi="Cambria Math"/>
            </w:rPr>
            <m:t>=</m:t>
          </m:r>
          <m:f>
            <m:fPr>
              <m:ctrlPr>
                <w:rPr>
                  <w:rFonts w:ascii="Cambria Math" w:hAnsi="Cambria Math"/>
                </w:rPr>
              </m:ctrlPr>
            </m:fPr>
            <m:num>
              <m:r>
                <m:rPr>
                  <m:sty m:val="p"/>
                </m:rPr>
                <w:rPr>
                  <w:rFonts w:ascii="Cambria Math" w:hAnsi="Cambria Math"/>
                  <w:szCs w:val="21"/>
                </w:rPr>
                <m:t xml:space="preserve">921,191,572.11 </m:t>
              </m:r>
            </m:num>
            <m:den>
              <m:r>
                <w:rPr>
                  <w:rFonts w:ascii="Cambria Math" w:hAnsi="Cambria Math"/>
                </w:rPr>
                <m:t>1525394345.65</m:t>
              </m:r>
            </m:den>
          </m:f>
          <m:r>
            <w:rPr>
              <w:rFonts w:ascii="Cambria Math" w:hAnsi="Cambria Math"/>
            </w:rPr>
            <m:t>=0.61</m:t>
          </m:r>
          <m:r>
            <m:rPr>
              <m:sty m:val="p"/>
            </m:rPr>
            <w:rPr>
              <w:rFonts w:ascii="Cambria Math" w:hAnsi="Cambria Math" w:hint="eastAsia"/>
            </w:rPr>
            <m:t>（次</m:t>
          </m:r>
          <m:r>
            <m:rPr>
              <m:sty m:val="p"/>
            </m:rPr>
            <w:rPr>
              <w:rFonts w:ascii="Cambria Math" w:hAnsi="Cambria Math"/>
            </w:rPr>
            <m:t>）</m:t>
          </m:r>
        </m:oMath>
      </m:oMathPara>
    </w:p>
    <w:p w:rsidR="000156EA" w:rsidRPr="002A7147" w:rsidRDefault="000156EA" w:rsidP="004E44DE">
      <w:pPr>
        <w:spacing w:line="300" w:lineRule="auto"/>
        <w:ind w:firstLineChars="200" w:firstLine="420"/>
      </w:pPr>
      <w:r>
        <w:rPr>
          <w:rFonts w:hint="eastAsia"/>
        </w:rPr>
        <w:t>计算表明，</w:t>
      </w:r>
      <w:r>
        <w:t>长方照明</w:t>
      </w:r>
      <w:r>
        <w:rPr>
          <w:rFonts w:hint="eastAsia"/>
        </w:rPr>
        <w:t>2014</w:t>
      </w:r>
      <w:r>
        <w:rPr>
          <w:rFonts w:hint="eastAsia"/>
        </w:rPr>
        <w:t>年</w:t>
      </w:r>
      <w:r>
        <w:t>应收账款周转率为</w:t>
      </w:r>
      <w:r>
        <w:rPr>
          <w:rFonts w:hint="eastAsia"/>
        </w:rPr>
        <w:t>5.86</w:t>
      </w:r>
      <w:r>
        <w:rPr>
          <w:rFonts w:hint="eastAsia"/>
        </w:rPr>
        <w:t>次</w:t>
      </w:r>
      <w:r>
        <w:t>，流动资产周转率</w:t>
      </w:r>
      <w:r>
        <w:rPr>
          <w:rFonts w:hint="eastAsia"/>
        </w:rPr>
        <w:t>为</w:t>
      </w:r>
      <w:r>
        <w:rPr>
          <w:rFonts w:hint="eastAsia"/>
        </w:rPr>
        <w:t>1.64</w:t>
      </w:r>
      <w:r>
        <w:rPr>
          <w:rFonts w:hint="eastAsia"/>
        </w:rPr>
        <w:t>次</w:t>
      </w:r>
      <w:r>
        <w:t>，固定资产周转率为</w:t>
      </w:r>
      <w:r>
        <w:rPr>
          <w:rFonts w:hint="eastAsia"/>
        </w:rPr>
        <w:t>1.33</w:t>
      </w:r>
      <w:r>
        <w:rPr>
          <w:rFonts w:hint="eastAsia"/>
        </w:rPr>
        <w:t>次</w:t>
      </w:r>
      <w:r>
        <w:t>。总资产</w:t>
      </w:r>
      <w:r>
        <w:rPr>
          <w:rFonts w:hint="eastAsia"/>
        </w:rPr>
        <w:t>周转率</w:t>
      </w:r>
      <w:r>
        <w:t>为</w:t>
      </w:r>
      <w:r>
        <w:t>0.61</w:t>
      </w:r>
      <w:r>
        <w:rPr>
          <w:rFonts w:hint="eastAsia"/>
        </w:rPr>
        <w:t>次</w:t>
      </w:r>
      <w:r>
        <w:t>。各项</w:t>
      </w:r>
      <w:r>
        <w:rPr>
          <w:rFonts w:hint="eastAsia"/>
        </w:rPr>
        <w:t>周转指标</w:t>
      </w:r>
      <w:r>
        <w:t>正常。</w:t>
      </w:r>
    </w:p>
    <w:p w:rsidR="002A7147" w:rsidRDefault="002A7147" w:rsidP="004E44DE">
      <w:pPr>
        <w:spacing w:line="300" w:lineRule="auto"/>
        <w:ind w:firstLineChars="200" w:firstLine="420"/>
        <w:rPr>
          <w:rFonts w:asciiTheme="minorEastAsia" w:hAnsiTheme="minorEastAsia"/>
          <w:szCs w:val="21"/>
        </w:rPr>
      </w:pPr>
      <w:r w:rsidRPr="006E3C55">
        <w:rPr>
          <w:rFonts w:asciiTheme="minorEastAsia" w:hAnsiTheme="minorEastAsia"/>
          <w:szCs w:val="21"/>
        </w:rPr>
        <w:t>流动资产周转率</w:t>
      </w:r>
      <w:r w:rsidRPr="006E3C55">
        <w:rPr>
          <w:rFonts w:asciiTheme="minorEastAsia" w:hAnsiTheme="minorEastAsia" w:hint="eastAsia"/>
          <w:szCs w:val="21"/>
        </w:rPr>
        <w:t>、</w:t>
      </w:r>
      <w:r w:rsidRPr="006E3C55">
        <w:rPr>
          <w:rFonts w:asciiTheme="minorEastAsia" w:hAnsiTheme="minorEastAsia"/>
          <w:szCs w:val="21"/>
        </w:rPr>
        <w:t>固定资产周转率，总资产周转率在计算时，分子</w:t>
      </w:r>
      <w:r w:rsidRPr="006E3C55">
        <w:rPr>
          <w:rFonts w:asciiTheme="minorEastAsia" w:hAnsiTheme="minorEastAsia" w:hint="eastAsia"/>
          <w:szCs w:val="21"/>
        </w:rPr>
        <w:t>都是</w:t>
      </w:r>
      <w:r w:rsidRPr="006E3C55">
        <w:rPr>
          <w:rFonts w:asciiTheme="minorEastAsia" w:hAnsiTheme="minorEastAsia"/>
          <w:szCs w:val="21"/>
        </w:rPr>
        <w:t>销售收入，不同的是</w:t>
      </w:r>
      <w:r w:rsidRPr="006E3C55">
        <w:rPr>
          <w:rFonts w:asciiTheme="minorEastAsia" w:hAnsiTheme="minorEastAsia" w:hint="eastAsia"/>
          <w:szCs w:val="21"/>
        </w:rPr>
        <w:t>分母</w:t>
      </w:r>
      <w:r w:rsidRPr="006E3C55">
        <w:rPr>
          <w:rFonts w:asciiTheme="minorEastAsia" w:hAnsiTheme="minorEastAsia"/>
          <w:szCs w:val="21"/>
        </w:rPr>
        <w:t>，在销售收入不变的情况下，流动资产</w:t>
      </w:r>
      <w:r w:rsidRPr="006E3C55">
        <w:rPr>
          <w:rFonts w:asciiTheme="minorEastAsia" w:hAnsiTheme="minorEastAsia" w:hint="eastAsia"/>
          <w:szCs w:val="21"/>
        </w:rPr>
        <w:t>周转率</w:t>
      </w:r>
      <w:r w:rsidRPr="006E3C55">
        <w:rPr>
          <w:rFonts w:asciiTheme="minorEastAsia" w:hAnsiTheme="minorEastAsia"/>
          <w:szCs w:val="21"/>
        </w:rPr>
        <w:t>或者固定资产</w:t>
      </w:r>
      <w:r w:rsidRPr="006E3C55">
        <w:rPr>
          <w:rFonts w:asciiTheme="minorEastAsia" w:hAnsiTheme="minorEastAsia" w:hint="eastAsia"/>
          <w:szCs w:val="21"/>
        </w:rPr>
        <w:t>周转率</w:t>
      </w:r>
      <w:r w:rsidRPr="006E3C55">
        <w:rPr>
          <w:rFonts w:asciiTheme="minorEastAsia" w:hAnsiTheme="minorEastAsia"/>
          <w:szCs w:val="21"/>
        </w:rPr>
        <w:t>发生改变，</w:t>
      </w:r>
      <w:r w:rsidRPr="006E3C55">
        <w:rPr>
          <w:rFonts w:asciiTheme="minorEastAsia" w:hAnsiTheme="minorEastAsia" w:hint="eastAsia"/>
          <w:szCs w:val="21"/>
        </w:rPr>
        <w:t>意味着</w:t>
      </w:r>
      <w:r w:rsidRPr="006E3C55">
        <w:rPr>
          <w:rFonts w:asciiTheme="minorEastAsia" w:hAnsiTheme="minorEastAsia"/>
          <w:szCs w:val="21"/>
        </w:rPr>
        <w:t>企业的流动资产或者固定资产发生了改变，那么必然会影响总资产的数额，</w:t>
      </w:r>
      <w:r w:rsidRPr="006E3C55">
        <w:rPr>
          <w:rFonts w:asciiTheme="minorEastAsia" w:hAnsiTheme="minorEastAsia" w:hint="eastAsia"/>
          <w:szCs w:val="21"/>
        </w:rPr>
        <w:t>所以</w:t>
      </w:r>
      <w:r w:rsidRPr="006E3C55">
        <w:rPr>
          <w:rFonts w:asciiTheme="minorEastAsia" w:hAnsiTheme="minorEastAsia"/>
          <w:szCs w:val="21"/>
        </w:rPr>
        <w:t>总资产周转率也会发生改变</w:t>
      </w:r>
      <w:r w:rsidRPr="006E3C55">
        <w:rPr>
          <w:rFonts w:asciiTheme="minorEastAsia" w:hAnsiTheme="minorEastAsia" w:hint="eastAsia"/>
          <w:szCs w:val="21"/>
        </w:rPr>
        <w:t>。</w:t>
      </w:r>
    </w:p>
    <w:p w:rsidR="006803A7" w:rsidRPr="002A7147" w:rsidRDefault="006803A7" w:rsidP="004E44DE">
      <w:pPr>
        <w:spacing w:line="300" w:lineRule="auto"/>
        <w:ind w:firstLineChars="200" w:firstLine="420"/>
      </w:pPr>
      <w:r>
        <w:rPr>
          <w:rFonts w:asciiTheme="minorEastAsia" w:hAnsiTheme="minorEastAsia" w:hint="eastAsia"/>
          <w:szCs w:val="21"/>
        </w:rPr>
        <w:t>当</w:t>
      </w:r>
      <w:r>
        <w:rPr>
          <w:rFonts w:asciiTheme="minorEastAsia" w:hAnsiTheme="minorEastAsia"/>
          <w:szCs w:val="21"/>
        </w:rPr>
        <w:t>企业的非流动资产全部为固定资产时，有</w:t>
      </w:r>
      <w:r>
        <w:rPr>
          <w:rFonts w:asciiTheme="minorEastAsia" w:hAnsiTheme="minorEastAsia" w:hint="eastAsia"/>
          <w:szCs w:val="21"/>
        </w:rPr>
        <w:t>：</w:t>
      </w:r>
      <w:r>
        <w:rPr>
          <w:rFonts w:asciiTheme="minorEastAsia" w:hAnsiTheme="minorEastAsia"/>
          <w:szCs w:val="21"/>
        </w:rPr>
        <w:br/>
      </w:r>
      <m:oMathPara>
        <m:oMath>
          <m:f>
            <m:fPr>
              <m:ctrlPr>
                <w:rPr>
                  <w:rFonts w:ascii="Cambria Math" w:hAnsi="Cambria Math"/>
                  <w:szCs w:val="21"/>
                </w:rPr>
              </m:ctrlPr>
            </m:fPr>
            <m:num>
              <m:r>
                <w:rPr>
                  <w:rFonts w:ascii="Cambria Math" w:hAnsi="Cambria Math"/>
                  <w:szCs w:val="21"/>
                </w:rPr>
                <m:t>1</m:t>
              </m:r>
            </m:num>
            <m:den>
              <m:r>
                <m:rPr>
                  <m:sty m:val="p"/>
                </m:rPr>
                <w:rPr>
                  <w:rFonts w:ascii="Cambria Math" w:hAnsi="Cambria Math" w:hint="eastAsia"/>
                  <w:szCs w:val="21"/>
                </w:rPr>
                <m:t>总资产周转率</m:t>
              </m:r>
            </m:den>
          </m:f>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m:rPr>
                  <m:sty m:val="p"/>
                </m:rPr>
                <w:rPr>
                  <w:rFonts w:ascii="Cambria Math" w:hAnsi="Cambria Math" w:hint="eastAsia"/>
                  <w:szCs w:val="21"/>
                </w:rPr>
                <m:t>流动资产</m:t>
              </m:r>
              <m:r>
                <m:rPr>
                  <m:sty m:val="p"/>
                </m:rPr>
                <w:rPr>
                  <w:rFonts w:ascii="Cambria Math" w:hAnsi="Cambria Math"/>
                  <w:szCs w:val="21"/>
                </w:rPr>
                <m:t>周转率</m:t>
              </m:r>
            </m:den>
          </m:f>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m:rPr>
                  <m:sty m:val="p"/>
                </m:rPr>
                <w:rPr>
                  <w:rFonts w:ascii="Cambria Math" w:hAnsi="Cambria Math" w:hint="eastAsia"/>
                  <w:szCs w:val="21"/>
                </w:rPr>
                <m:t>固定资产周转率</m:t>
              </m:r>
            </m:den>
          </m:f>
        </m:oMath>
      </m:oMathPara>
    </w:p>
    <w:sectPr w:rsidR="006803A7" w:rsidRPr="002A7147" w:rsidSect="006961A3">
      <w:footerReference w:type="even" r:id="rId7"/>
      <w:footerReference w:type="default" r:id="rId8"/>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487" w:rsidRDefault="00EA4487" w:rsidP="00A543E3">
      <w:r>
        <w:separator/>
      </w:r>
    </w:p>
  </w:endnote>
  <w:endnote w:type="continuationSeparator" w:id="0">
    <w:p w:rsidR="00EA4487" w:rsidRDefault="00EA4487" w:rsidP="00A5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A61" w:rsidRDefault="00842D0D" w:rsidP="00383D6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D2A61" w:rsidRDefault="00EA448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A61" w:rsidRDefault="00842D0D" w:rsidP="00383D6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55BE7">
      <w:rPr>
        <w:rStyle w:val="a5"/>
        <w:noProof/>
      </w:rPr>
      <w:t>4</w:t>
    </w:r>
    <w:r>
      <w:rPr>
        <w:rStyle w:val="a5"/>
      </w:rPr>
      <w:fldChar w:fldCharType="end"/>
    </w:r>
  </w:p>
  <w:p w:rsidR="003D2A61" w:rsidRDefault="00EA448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487" w:rsidRDefault="00EA4487" w:rsidP="00A543E3">
      <w:r>
        <w:separator/>
      </w:r>
    </w:p>
  </w:footnote>
  <w:footnote w:type="continuationSeparator" w:id="0">
    <w:p w:rsidR="00EA4487" w:rsidRDefault="00EA4487" w:rsidP="00A543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43E3"/>
    <w:rsid w:val="000156EA"/>
    <w:rsid w:val="000E2DE4"/>
    <w:rsid w:val="00153F6F"/>
    <w:rsid w:val="0019656D"/>
    <w:rsid w:val="001A1B56"/>
    <w:rsid w:val="001A4EE7"/>
    <w:rsid w:val="001A5913"/>
    <w:rsid w:val="001B49BF"/>
    <w:rsid w:val="002876AA"/>
    <w:rsid w:val="002A7147"/>
    <w:rsid w:val="00346602"/>
    <w:rsid w:val="00473AB1"/>
    <w:rsid w:val="004E3A0D"/>
    <w:rsid w:val="004E44DE"/>
    <w:rsid w:val="00594EEB"/>
    <w:rsid w:val="006803A7"/>
    <w:rsid w:val="00694AD7"/>
    <w:rsid w:val="00705E19"/>
    <w:rsid w:val="007A2A51"/>
    <w:rsid w:val="00842D0D"/>
    <w:rsid w:val="00862BF1"/>
    <w:rsid w:val="00915EEF"/>
    <w:rsid w:val="00A543E3"/>
    <w:rsid w:val="00A8097F"/>
    <w:rsid w:val="00AE559A"/>
    <w:rsid w:val="00B800FA"/>
    <w:rsid w:val="00C63A1F"/>
    <w:rsid w:val="00CD1783"/>
    <w:rsid w:val="00D55BE7"/>
    <w:rsid w:val="00E64000"/>
    <w:rsid w:val="00EA4487"/>
    <w:rsid w:val="00F9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AE697E-AE2A-4E7E-902E-910EE4EC6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3E3"/>
    <w:pPr>
      <w:widowControl w:val="0"/>
      <w:jc w:val="both"/>
    </w:pPr>
    <w:rPr>
      <w:rFonts w:ascii="Times New Roman" w:eastAsia="宋体" w:hAnsi="Times New Roman" w:cs="Times New Roman"/>
      <w:szCs w:val="24"/>
    </w:rPr>
  </w:style>
  <w:style w:type="paragraph" w:styleId="1">
    <w:name w:val="heading 1"/>
    <w:aliases w:val="topsage"/>
    <w:basedOn w:val="a"/>
    <w:next w:val="a"/>
    <w:link w:val="1Char"/>
    <w:qFormat/>
    <w:rsid w:val="00A543E3"/>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543E3"/>
    <w:pPr>
      <w:keepNext/>
      <w:keepLines/>
      <w:spacing w:before="260" w:after="260" w:line="416" w:lineRule="auto"/>
      <w:outlineLvl w:val="1"/>
    </w:pPr>
    <w:rPr>
      <w:rFonts w:ascii="Arial" w:eastAsia="黑体" w:hAnsi="Arial"/>
      <w:b/>
      <w:bCs/>
      <w:sz w:val="32"/>
      <w:szCs w:val="32"/>
    </w:rPr>
  </w:style>
  <w:style w:type="paragraph" w:styleId="3">
    <w:name w:val="heading 3"/>
    <w:aliases w:val="大家网,topsage.com"/>
    <w:basedOn w:val="a"/>
    <w:next w:val="a"/>
    <w:link w:val="3Char"/>
    <w:qFormat/>
    <w:rsid w:val="00A543E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43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43E3"/>
    <w:rPr>
      <w:sz w:val="18"/>
      <w:szCs w:val="18"/>
    </w:rPr>
  </w:style>
  <w:style w:type="paragraph" w:styleId="a4">
    <w:name w:val="footer"/>
    <w:basedOn w:val="a"/>
    <w:link w:val="Char0"/>
    <w:unhideWhenUsed/>
    <w:rsid w:val="00A543E3"/>
    <w:pPr>
      <w:tabs>
        <w:tab w:val="center" w:pos="4153"/>
        <w:tab w:val="right" w:pos="8306"/>
      </w:tabs>
      <w:snapToGrid w:val="0"/>
      <w:jc w:val="left"/>
    </w:pPr>
    <w:rPr>
      <w:sz w:val="18"/>
      <w:szCs w:val="18"/>
    </w:rPr>
  </w:style>
  <w:style w:type="character" w:customStyle="1" w:styleId="Char0">
    <w:name w:val="页脚 Char"/>
    <w:basedOn w:val="a0"/>
    <w:link w:val="a4"/>
    <w:rsid w:val="00A543E3"/>
    <w:rPr>
      <w:sz w:val="18"/>
      <w:szCs w:val="18"/>
    </w:rPr>
  </w:style>
  <w:style w:type="character" w:customStyle="1" w:styleId="1Char">
    <w:name w:val="标题 1 Char"/>
    <w:aliases w:val="topsage Char"/>
    <w:basedOn w:val="a0"/>
    <w:link w:val="1"/>
    <w:rsid w:val="00A543E3"/>
    <w:rPr>
      <w:rFonts w:ascii="Times New Roman" w:eastAsia="宋体" w:hAnsi="Times New Roman" w:cs="Times New Roman"/>
      <w:b/>
      <w:bCs/>
      <w:kern w:val="44"/>
      <w:sz w:val="44"/>
      <w:szCs w:val="44"/>
    </w:rPr>
  </w:style>
  <w:style w:type="character" w:customStyle="1" w:styleId="2Char">
    <w:name w:val="标题 2 Char"/>
    <w:basedOn w:val="a0"/>
    <w:link w:val="2"/>
    <w:rsid w:val="00A543E3"/>
    <w:rPr>
      <w:rFonts w:ascii="Arial" w:eastAsia="黑体" w:hAnsi="Arial" w:cs="Times New Roman"/>
      <w:b/>
      <w:bCs/>
      <w:sz w:val="32"/>
      <w:szCs w:val="32"/>
    </w:rPr>
  </w:style>
  <w:style w:type="character" w:customStyle="1" w:styleId="3Char">
    <w:name w:val="标题 3 Char"/>
    <w:aliases w:val="大家网 Char,topsage.com Char"/>
    <w:basedOn w:val="a0"/>
    <w:link w:val="3"/>
    <w:rsid w:val="00A543E3"/>
    <w:rPr>
      <w:rFonts w:ascii="Times New Roman" w:eastAsia="宋体" w:hAnsi="Times New Roman" w:cs="Times New Roman"/>
      <w:b/>
      <w:bCs/>
      <w:sz w:val="32"/>
      <w:szCs w:val="32"/>
    </w:rPr>
  </w:style>
  <w:style w:type="character" w:styleId="a5">
    <w:name w:val="page number"/>
    <w:basedOn w:val="a0"/>
    <w:rsid w:val="00A543E3"/>
  </w:style>
  <w:style w:type="character" w:styleId="a6">
    <w:name w:val="Hyperlink"/>
    <w:basedOn w:val="a0"/>
    <w:uiPriority w:val="99"/>
    <w:unhideWhenUsed/>
    <w:rsid w:val="00A543E3"/>
    <w:rPr>
      <w:color w:val="0000FF"/>
      <w:u w:val="single"/>
    </w:rPr>
  </w:style>
  <w:style w:type="table" w:styleId="a7">
    <w:name w:val="Table Grid"/>
    <w:basedOn w:val="a1"/>
    <w:uiPriority w:val="59"/>
    <w:rsid w:val="00A543E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Char1"/>
    <w:uiPriority w:val="99"/>
    <w:semiHidden/>
    <w:unhideWhenUsed/>
    <w:rsid w:val="00A543E3"/>
    <w:rPr>
      <w:sz w:val="18"/>
      <w:szCs w:val="18"/>
    </w:rPr>
  </w:style>
  <w:style w:type="character" w:customStyle="1" w:styleId="Char1">
    <w:name w:val="批注框文本 Char"/>
    <w:basedOn w:val="a0"/>
    <w:link w:val="a8"/>
    <w:uiPriority w:val="99"/>
    <w:semiHidden/>
    <w:rsid w:val="00A543E3"/>
    <w:rPr>
      <w:rFonts w:ascii="Times New Roman" w:eastAsia="宋体" w:hAnsi="Times New Roman" w:cs="Times New Roman"/>
      <w:sz w:val="18"/>
      <w:szCs w:val="18"/>
    </w:rPr>
  </w:style>
  <w:style w:type="paragraph" w:styleId="a9">
    <w:name w:val="Document Map"/>
    <w:basedOn w:val="a"/>
    <w:link w:val="Char2"/>
    <w:uiPriority w:val="99"/>
    <w:semiHidden/>
    <w:unhideWhenUsed/>
    <w:rsid w:val="00A543E3"/>
    <w:rPr>
      <w:rFonts w:ascii="宋体"/>
      <w:sz w:val="18"/>
      <w:szCs w:val="18"/>
    </w:rPr>
  </w:style>
  <w:style w:type="character" w:customStyle="1" w:styleId="Char2">
    <w:name w:val="文档结构图 Char"/>
    <w:basedOn w:val="a0"/>
    <w:link w:val="a9"/>
    <w:uiPriority w:val="99"/>
    <w:semiHidden/>
    <w:rsid w:val="00A543E3"/>
    <w:rPr>
      <w:rFonts w:ascii="宋体" w:eastAsia="宋体" w:hAnsi="Times New Roman" w:cs="Times New Roman"/>
      <w:sz w:val="18"/>
      <w:szCs w:val="18"/>
    </w:rPr>
  </w:style>
  <w:style w:type="paragraph" w:styleId="aa">
    <w:name w:val="List Paragraph"/>
    <w:basedOn w:val="a"/>
    <w:uiPriority w:val="34"/>
    <w:unhideWhenUsed/>
    <w:qFormat/>
    <w:rsid w:val="00A543E3"/>
    <w:pPr>
      <w:ind w:firstLineChars="200" w:firstLine="420"/>
    </w:pPr>
  </w:style>
  <w:style w:type="paragraph" w:customStyle="1" w:styleId="Default">
    <w:name w:val="Default"/>
    <w:rsid w:val="00E64000"/>
    <w:pPr>
      <w:widowControl w:val="0"/>
      <w:autoSpaceDE w:val="0"/>
      <w:autoSpaceDN w:val="0"/>
      <w:adjustRightInd w:val="0"/>
    </w:pPr>
    <w:rPr>
      <w:rFonts w:ascii="Times New Roman" w:hAnsi="Times New Roman" w:cs="Times New Roman"/>
      <w:color w:val="000000"/>
      <w:kern w:val="0"/>
      <w:sz w:val="24"/>
      <w:szCs w:val="24"/>
    </w:rPr>
  </w:style>
  <w:style w:type="character" w:styleId="ab">
    <w:name w:val="Placeholder Text"/>
    <w:basedOn w:val="a0"/>
    <w:uiPriority w:val="99"/>
    <w:semiHidden/>
    <w:rsid w:val="00A8097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D4F46-A3C2-4EEF-BE78-79829F1D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482</Words>
  <Characters>2751</Characters>
  <Application>Microsoft Office Word</Application>
  <DocSecurity>0</DocSecurity>
  <Lines>22</Lines>
  <Paragraphs>6</Paragraphs>
  <ScaleCrop>false</ScaleCrop>
  <Company/>
  <LinksUpToDate>false</LinksUpToDate>
  <CharactersWithSpaces>3227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王华</dc:creator>
  <cp:keywords/>
  <dc:description/>
  <cp:lastModifiedBy>zhh</cp:lastModifiedBy>
  <cp:revision>19</cp:revision>
  <dcterms:created xsi:type="dcterms:W3CDTF">2015-12-28T02:56:00Z</dcterms:created>
  <dcterms:modified xsi:type="dcterms:W3CDTF">2016-06-20T05:27:00Z</dcterms:modified>
</cp:coreProperties>
</file>